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Orientador: Prof. Dr. Alexandre Campane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98160C">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98160C">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98160C">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98160C">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98160C">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98160C">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98160C">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98160C">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98160C">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98160C">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98160C">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98160C">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98160C">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98160C">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98160C">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98160C">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98160C">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98160C">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98160C">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98160C">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98160C">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98160C">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98160C">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98160C">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r w:rsidRPr="00B370CB">
        <w:rPr>
          <w:sz w:val="32"/>
          <w:szCs w:val="32"/>
        </w:rPr>
        <w:lastRenderedPageBreak/>
        <w:t>Í</w:t>
      </w:r>
      <w:r w:rsidR="00736FE4" w:rsidRPr="00B370CB">
        <w:rPr>
          <w:sz w:val="32"/>
          <w:szCs w:val="32"/>
        </w:rPr>
        <w:t>ndice de Figuras</w:t>
      </w:r>
      <w:bookmarkEnd w:id="1"/>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98160C"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98160C">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98160C">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98160C">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98160C">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98160C">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98160C">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98160C">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98160C">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98160C">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98160C">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98160C">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98160C">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98160C">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98160C">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98160C">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98160C">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98160C">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98160C">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98160C">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98160C">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98160C">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98160C">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98160C">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98160C">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98160C">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98160C">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98160C">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98160C">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98160C">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98160C">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98160C">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98160C">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98160C">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98160C">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98160C">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98160C">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r w:rsidRPr="00B370CB">
        <w:rPr>
          <w:sz w:val="32"/>
          <w:szCs w:val="32"/>
        </w:rPr>
        <w:t>Índice de Tabelas</w:t>
      </w:r>
      <w:bookmarkEnd w:id="2"/>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98160C">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98160C">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98160C">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98160C">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98160C">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98160C">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98160C">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98160C">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98160C">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98160C">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98160C">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albiano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geoestatística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r w:rsidRPr="00A62B7C">
        <w:rPr>
          <w:rFonts w:ascii="Arial" w:hAnsi="Arial" w:cs="Arial"/>
          <w:sz w:val="24"/>
          <w:szCs w:val="24"/>
        </w:rPr>
        <w:t>Ringrose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geocientista em prover informações quantitativas e qualitativas sobre a geologia em subsuperfície. Possibilitando a realização de modelos preditivos de alta complexidade (Trabanou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r w:rsidR="00A8669E" w:rsidRPr="00A62B7C">
        <w:rPr>
          <w:rFonts w:ascii="Arial" w:hAnsi="Arial" w:cs="Arial"/>
          <w:sz w:val="24"/>
          <w:szCs w:val="24"/>
        </w:rPr>
        <w:t>Newrick</w:t>
      </w:r>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(Ringrose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(Caers</w:t>
      </w:r>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geoestatístico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geostatístico, aplicando algoritmos de krigagem para dados na porção estruturada dos variogramas e simulações gaussianas para dados na porção não estruturada, permitindo melhor desempenho na estimativa de dados nas porções não estruturadas dos variogramas (Hengl et al., 2007; Hansen et al., 2006) e evitando as feições suavizadas características de algoritmos baseados unicamente em métodos de krigagem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Plisga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(Taner et al, 1979; Bjorlykke, 1989). Atributos sísmicos, de maneira geral, procuram realçar ou suprimir alguma característica observada no volume sísmico de amplitudes original. Seja o realce de descontinuidades, de refletores ou um aprimoramento da razão sinal-ruído, entre outros (Bahorich &amp; Farmer, 1995; Brown, 1999). Com base nisto, este estudo busca caracterizar a complexidade estrutural do Campo B desenvolvendo atributos sísmicos que realcem e discretizem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sub-sísmicas, ainda que fraturais nesta escala não influenciem significativamente modelos volumétricos (</w:t>
      </w:r>
      <w:r w:rsidR="006D5136" w:rsidRPr="00A62B7C">
        <w:rPr>
          <w:rFonts w:ascii="Arial" w:hAnsi="Arial" w:cs="Arial"/>
          <w:sz w:val="24"/>
          <w:szCs w:val="24"/>
        </w:rPr>
        <w:t>Ringrose &amp; Bentley, 2014c</w:t>
      </w:r>
      <w:r w:rsidR="006D5136">
        <w:rPr>
          <w:rFonts w:ascii="Arial" w:hAnsi="Arial" w:cs="Arial"/>
          <w:sz w:val="24"/>
          <w:szCs w:val="24"/>
        </w:rPr>
        <w:t>)</w:t>
      </w:r>
      <w:r w:rsidR="00D22610">
        <w:rPr>
          <w:rFonts w:ascii="Arial" w:hAnsi="Arial" w:cs="Arial"/>
          <w:sz w:val="24"/>
          <w:szCs w:val="24"/>
        </w:rPr>
        <w:t>. Ao mesmo tempo, altos valores para o atributo de ant-tracking são associados a altos graus de fraturamento em testemunho (Fang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s interpretativo associado ao processo (Cox &amp; Seitz,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baseado nos atributos de variância e ant-tracking. Ao mesmo tempo, outros autores sugerem a utilização de filtros de suavização estrutural previamente ao cálculo do atributo de variância à fim de reduzir os efeitos de ruídos nas estruturas caracterizadas (Randen et al., 2001; Zhao et al., 2015; Basir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(Taner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derivadas de dados petrofísicos (Al-Mudhafar et al., 2015; Aragão &amp; Sava,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 xml:space="preserve">Mapas Auto-Organizáveis e K-Means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K-Means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net-to-gross</w:t>
      </w:r>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 xml:space="preserve">O algoritmo de Mistura Gaussiana, ao apresentar saídas probabilísticas para cada classe, permite quantificar as probabilidades de cada ponto pertencer a cada classe (Viroli &amp; McLachlan, 2019). Como o cálculo de volumes, objetivo final deste estudo, </w:t>
      </w:r>
      <w:r w:rsidRPr="00403851">
        <w:rPr>
          <w:rFonts w:ascii="Arial" w:hAnsi="Arial" w:cs="Arial"/>
          <w:sz w:val="24"/>
          <w:szCs w:val="24"/>
        </w:rPr>
        <w:lastRenderedPageBreak/>
        <w:t>passa pela estimativa da razão Net-to-Gross, também medida entre 0 e 1 (Egbele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intra-poço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(Bruhn</w:t>
      </w:r>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(Bruhn</w:t>
      </w:r>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falhamentos de blocos relacionados à fase </w:t>
      </w:r>
      <w:r w:rsidRPr="0032750C">
        <w:rPr>
          <w:rFonts w:ascii="Arial" w:hAnsi="Arial" w:cs="Arial"/>
          <w:i/>
          <w:sz w:val="24"/>
          <w:szCs w:val="24"/>
        </w:rPr>
        <w:t>rift</w:t>
      </w:r>
      <w:r w:rsidRPr="00A62B7C">
        <w:rPr>
          <w:rFonts w:ascii="Arial" w:hAnsi="Arial" w:cs="Arial"/>
          <w:sz w:val="24"/>
          <w:szCs w:val="24"/>
        </w:rPr>
        <w:t xml:space="preserve">, compondo </w:t>
      </w:r>
      <w:r w:rsidRPr="0032750C">
        <w:rPr>
          <w:rFonts w:ascii="Arial" w:hAnsi="Arial" w:cs="Arial"/>
          <w:i/>
          <w:sz w:val="24"/>
          <w:szCs w:val="24"/>
        </w:rPr>
        <w:t>horsts</w:t>
      </w:r>
      <w:r w:rsidRPr="00A62B7C">
        <w:rPr>
          <w:rFonts w:ascii="Arial" w:hAnsi="Arial" w:cs="Arial"/>
          <w:sz w:val="24"/>
          <w:szCs w:val="24"/>
        </w:rPr>
        <w:t xml:space="preserve">, </w:t>
      </w:r>
      <w:r w:rsidRPr="0032750C">
        <w:rPr>
          <w:rFonts w:ascii="Arial" w:hAnsi="Arial" w:cs="Arial"/>
          <w:i/>
          <w:sz w:val="24"/>
          <w:szCs w:val="24"/>
        </w:rPr>
        <w:t>grabens</w:t>
      </w:r>
      <w:r w:rsidRPr="00A62B7C">
        <w:rPr>
          <w:rFonts w:ascii="Arial" w:hAnsi="Arial" w:cs="Arial"/>
          <w:sz w:val="24"/>
          <w:szCs w:val="24"/>
        </w:rPr>
        <w:t xml:space="preserve"> e semi-</w:t>
      </w:r>
      <w:r w:rsidRPr="0032750C">
        <w:rPr>
          <w:rFonts w:ascii="Arial" w:hAnsi="Arial" w:cs="Arial"/>
          <w:i/>
          <w:sz w:val="24"/>
          <w:szCs w:val="24"/>
        </w:rPr>
        <w:t>grabens</w:t>
      </w:r>
      <w:r w:rsidRPr="00A62B7C">
        <w:rPr>
          <w:rFonts w:ascii="Arial" w:hAnsi="Arial" w:cs="Arial"/>
          <w:sz w:val="24"/>
          <w:szCs w:val="24"/>
        </w:rPr>
        <w:t>, envolvendo o embasamento e sedimentos do pré-sal e (2) estruturas geradas pela movimentação de sal, em geral falhas lístricas, afetando sedimentos do pós-sal (Spadini, 1992; Figueiredo &amp; Mohriak,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t>Winter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Carta estratigráfica da Bacia de Campos simplificada. (Modificada de Guardado et al., 2000, e parcialmente atualizada após Winter et al., 2007, in Melani,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(Winter et al, 2007), o Grupo Macaé representa porção inferior da sequência pós-sal, com deposição carbonática em mar raso (Robaina et al, 1991). Dominado por carbonatos marinhos de águas rasas, o Grupo Macaé é caracterizado por uma associação de calcarenitos, calcirruditos e calcilutitos,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Spadini (2008), reservatórios carbonáticos albianos mostram grande variação de porosidade e permeabilidade. Altas permeabilidades correspondem à porosidade intergranular deposicional, enquanto baixas permeabilidades das rochas refletem predominância de microporosidade. Bruhn et al. (2003) define que as acumulações </w:t>
      </w:r>
      <w:r w:rsidR="004B76AE" w:rsidRPr="00A62B7C">
        <w:rPr>
          <w:rFonts w:ascii="Arial" w:hAnsi="Arial" w:cs="Arial"/>
          <w:sz w:val="24"/>
          <w:szCs w:val="24"/>
        </w:rPr>
        <w:t xml:space="preserve">com idades </w:t>
      </w:r>
      <w:r w:rsidRPr="00A62B7C">
        <w:rPr>
          <w:rFonts w:ascii="Arial" w:hAnsi="Arial" w:cs="Arial"/>
          <w:sz w:val="24"/>
          <w:szCs w:val="24"/>
        </w:rPr>
        <w:t>albianas de petróleo têm controle estrutural, por falhas e dobras, e também estratigráfico, dado por variação lateral de fácies, com calcarenitos e calcirruditos gradando para calcarenitos, calcissiltitos e calcilutitos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O Campo B é um reservatório fraturado carbonático do albiano, produtivo a quase 40 anos. A cerca de 85km da costa, cobre uma área de 14km². Composto predominantemente por calcarenitos e calcirruditos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Tomaso et al (2013) dividem o Campo B em duas zonas principais de acordo com intensidade de fraturamento: (1) área sul, onde predominam presença de fraturas e microporosidade;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Fraturas desempenham um importante papel na produção do campo, controlando e criando as condições necessárias para a produção de óleo (Franz, 1987). A origem destas fraturas no Campo B está intimamente ligada aos eventos causadores dos falhamentos regionais, sendo possível inferir ao menos dois estágios principais de fraturamento no reservatório. Primeiramente as fraturas foram totalmente cimentadas por calcita espática.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Tomaso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normal moveout</w:t>
      </w:r>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r w:rsidR="00831A57" w:rsidRPr="00831A57">
        <w:rPr>
          <w:rFonts w:ascii="Arial" w:hAnsi="Arial" w:cs="Arial"/>
          <w:i/>
          <w:iCs/>
          <w:sz w:val="24"/>
          <w:szCs w:val="24"/>
        </w:rPr>
        <w:t>segy</w:t>
      </w:r>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r w:rsidR="001C4058" w:rsidRPr="0032750C">
        <w:rPr>
          <w:rFonts w:ascii="Arial" w:hAnsi="Arial" w:cs="Arial"/>
          <w:i/>
          <w:sz w:val="24"/>
          <w:szCs w:val="24"/>
        </w:rPr>
        <w:t>inlines</w:t>
      </w:r>
      <w:r w:rsidR="001C4058" w:rsidRPr="00A62B7C">
        <w:rPr>
          <w:rFonts w:ascii="Arial" w:hAnsi="Arial" w:cs="Arial"/>
          <w:sz w:val="24"/>
          <w:szCs w:val="24"/>
        </w:rPr>
        <w:t xml:space="preserve"> com espaçamento de 25m e 311 </w:t>
      </w:r>
      <w:r w:rsidR="001C4058" w:rsidRPr="0032750C">
        <w:rPr>
          <w:rFonts w:ascii="Arial" w:hAnsi="Arial" w:cs="Arial"/>
          <w:i/>
          <w:sz w:val="24"/>
          <w:szCs w:val="24"/>
        </w:rPr>
        <w:t>crosslines</w:t>
      </w:r>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(Oil Water Contact)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Melani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Melani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98160C"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r w:rsidR="001419C4" w:rsidRPr="00F91027">
        <w:rPr>
          <w:rFonts w:ascii="Arial" w:hAnsi="Arial" w:cs="Arial"/>
          <w:i/>
          <w:sz w:val="24"/>
          <w:szCs w:val="24"/>
        </w:rPr>
        <w:t>Phi</w:t>
      </w:r>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Melani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r w:rsidRPr="003B5138">
        <w:rPr>
          <w:rFonts w:ascii="Arial" w:hAnsi="Arial" w:cs="Arial"/>
          <w:i/>
          <w:sz w:val="24"/>
          <w:szCs w:val="24"/>
        </w:rPr>
        <w:t>Pickett plot</w:t>
      </w:r>
      <w:r w:rsidRPr="003B5138">
        <w:rPr>
          <w:rFonts w:ascii="Arial" w:hAnsi="Arial" w:cs="Arial"/>
          <w:sz w:val="24"/>
          <w:szCs w:val="24"/>
        </w:rPr>
        <w:t xml:space="preserve"> para definir m e define n baseado no menor valor medido em laboratório para um reservatório análogo (Elias &amp; Steagall,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O método da análise de Pickett plot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Pickett Plot utilizado na determinação do fator de cimentação (m = 1,77). De Melani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(Pedersen et al, 2005; Fletcher et al, 2011; Cox &amp; Seitz, 2005; Silva et al, 2005; Chopra &amp; Marfurt, 2007; Rijks &amp; Jauffred,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r>
        <w:rPr>
          <w:rFonts w:ascii="Arial" w:hAnsi="Arial" w:cs="Arial"/>
          <w:i/>
          <w:sz w:val="24"/>
          <w:szCs w:val="24"/>
        </w:rPr>
        <w:t>ant-tracking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Pedersen et al, 2005; Cox &amp; Seitz,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M, 2012; Chahine et al, 2014; Zeng &amp; Kerans,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r w:rsidRPr="00C06E26">
        <w:rPr>
          <w:rFonts w:ascii="Arial" w:hAnsi="Arial" w:cs="Arial"/>
          <w:i/>
          <w:sz w:val="24"/>
          <w:szCs w:val="24"/>
        </w:rPr>
        <w:t>ant-tracking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ant-tracking.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5; Hale,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(Randen</w:t>
      </w:r>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r w:rsidRPr="00406342">
        <w:rPr>
          <w:rFonts w:ascii="Arial" w:hAnsi="Arial" w:cs="Arial"/>
          <w:i/>
          <w:sz w:val="24"/>
          <w:szCs w:val="24"/>
        </w:rPr>
        <w:t>crossline</w:t>
      </w:r>
      <w:r>
        <w:rPr>
          <w:rFonts w:ascii="Arial" w:hAnsi="Arial" w:cs="Arial"/>
          <w:sz w:val="24"/>
          <w:szCs w:val="24"/>
        </w:rPr>
        <w:t xml:space="preserve"> e </w:t>
      </w:r>
      <w:r w:rsidRPr="00406342">
        <w:rPr>
          <w:rFonts w:ascii="Arial" w:hAnsi="Arial" w:cs="Arial"/>
          <w:i/>
          <w:sz w:val="24"/>
          <w:szCs w:val="24"/>
        </w:rPr>
        <w:t>inline</w:t>
      </w:r>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98160C"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(Randen</w:t>
      </w:r>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Bemmel &amp; Pepper,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r w:rsidRPr="00EC7F74">
        <w:rPr>
          <w:rFonts w:ascii="Arial" w:eastAsiaTheme="minorEastAsia" w:hAnsi="Arial" w:cs="Arial"/>
          <w:i/>
          <w:sz w:val="24"/>
          <w:szCs w:val="24"/>
        </w:rPr>
        <w:t>inlines</w:t>
      </w:r>
      <w:r>
        <w:rPr>
          <w:rFonts w:ascii="Arial" w:eastAsiaTheme="minorEastAsia" w:hAnsi="Arial" w:cs="Arial"/>
          <w:sz w:val="24"/>
          <w:szCs w:val="24"/>
        </w:rPr>
        <w:t xml:space="preserve"> e 3 </w:t>
      </w:r>
      <w:r w:rsidRPr="00EC7F74">
        <w:rPr>
          <w:rFonts w:ascii="Arial" w:eastAsiaTheme="minorEastAsia" w:hAnsi="Arial" w:cs="Arial"/>
          <w:i/>
          <w:sz w:val="24"/>
          <w:szCs w:val="24"/>
        </w:rPr>
        <w:t>crosslines</w:t>
      </w:r>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r w:rsidR="00EF4B6B" w:rsidRPr="00EF4B6B">
        <w:rPr>
          <w:rFonts w:ascii="Arial" w:hAnsi="Arial" w:cs="Arial"/>
          <w:i/>
          <w:sz w:val="24"/>
          <w:szCs w:val="24"/>
        </w:rPr>
        <w:t>an</w:t>
      </w:r>
      <w:r w:rsidR="00DA40A5" w:rsidRPr="00EF4B6B">
        <w:rPr>
          <w:rFonts w:ascii="Arial" w:hAnsi="Arial" w:cs="Arial"/>
          <w:i/>
          <w:sz w:val="24"/>
          <w:szCs w:val="24"/>
        </w:rPr>
        <w:t>t</w:t>
      </w:r>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r w:rsidR="00BB08FC" w:rsidRPr="00EF4B6B">
        <w:rPr>
          <w:rFonts w:ascii="Arial" w:hAnsi="Arial" w:cs="Arial"/>
          <w:i/>
          <w:sz w:val="24"/>
          <w:szCs w:val="24"/>
        </w:rPr>
        <w:t>ant</w:t>
      </w:r>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r w:rsidR="00B2728B" w:rsidRPr="00B2728B">
        <w:rPr>
          <w:rFonts w:ascii="Arial" w:hAnsi="Arial" w:cs="Arial"/>
          <w:i/>
          <w:sz w:val="24"/>
          <w:szCs w:val="24"/>
        </w:rPr>
        <w:t>ant</w:t>
      </w:r>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Fang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r w:rsidR="00F17F19">
        <w:rPr>
          <w:rFonts w:ascii="Arial" w:hAnsi="Arial" w:cs="Arial"/>
          <w:sz w:val="24"/>
          <w:szCs w:val="24"/>
        </w:rPr>
        <w:t>Chahine</w:t>
      </w:r>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fraturamente obtidas de testemunhos correlacionam-se com valores de ant-tracking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(Godfrey &amp; Bachrach,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Fang et al. (2016) sugerem que o limite de detecção de estruturas individuais no volume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r w:rsidR="00D22610">
        <w:rPr>
          <w:rFonts w:ascii="Arial" w:hAnsi="Arial" w:cs="Arial"/>
          <w:sz w:val="24"/>
          <w:szCs w:val="24"/>
        </w:rPr>
        <w:t>discretizadas</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r w:rsidRPr="00C64DFF">
        <w:rPr>
          <w:rFonts w:ascii="Arial" w:hAnsi="Arial" w:cs="Arial"/>
          <w:i/>
          <w:sz w:val="24"/>
          <w:szCs w:val="24"/>
        </w:rPr>
        <w:t>ant</w:t>
      </w:r>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98160C" w:rsidRPr="00075389" w:rsidRDefault="0098160C"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98160C" w:rsidRPr="00075389" w:rsidRDefault="0098160C"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r w:rsidR="00FD37B8" w:rsidRPr="006523F0">
        <w:rPr>
          <w:rFonts w:ascii="Arial" w:hAnsi="Arial" w:cs="Arial"/>
          <w:i/>
          <w:sz w:val="24"/>
          <w:szCs w:val="24"/>
        </w:rPr>
        <w:t>ant</w:t>
      </w:r>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r w:rsidR="006523F0" w:rsidRPr="006523F0">
        <w:rPr>
          <w:rFonts w:ascii="Arial" w:hAnsi="Arial" w:cs="Arial"/>
          <w:i/>
          <w:sz w:val="24"/>
          <w:szCs w:val="24"/>
        </w:rPr>
        <w:t>ant</w:t>
      </w:r>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r w:rsidR="00BE3649" w:rsidRPr="00BE3649">
        <w:rPr>
          <w:rFonts w:ascii="Arial" w:hAnsi="Arial" w:cs="Arial"/>
          <w:i/>
          <w:sz w:val="24"/>
          <w:szCs w:val="24"/>
        </w:rPr>
        <w:t>inlines</w:t>
      </w:r>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r w:rsidR="00BE3649" w:rsidRPr="00BE3649">
        <w:rPr>
          <w:rFonts w:ascii="Arial" w:hAnsi="Arial" w:cs="Arial"/>
          <w:i/>
          <w:sz w:val="24"/>
          <w:szCs w:val="24"/>
        </w:rPr>
        <w:t>crosslines</w:t>
      </w:r>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r w:rsidRPr="00753132">
        <w:rPr>
          <w:rFonts w:ascii="Arial" w:hAnsi="Arial" w:cs="Arial"/>
          <w:i/>
          <w:sz w:val="24"/>
          <w:szCs w:val="24"/>
        </w:rPr>
        <w:t>ant</w:t>
      </w:r>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5D665DB2" w:rsidR="00D7096C" w:rsidRPr="00A47866" w:rsidRDefault="000223BA" w:rsidP="00A47866">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lastRenderedPageBreak/>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a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7D2ECA2B"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4B288A2F" w:rsidR="00126D99" w:rsidRPr="008D0FD1" w:rsidRDefault="0099276E" w:rsidP="008D0FD1">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lastRenderedPageBreak/>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Técnicas de Krigagem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98160C"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variogramas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A Krigagem com Deriva Externa</w:t>
      </w:r>
      <w:r w:rsidR="00F84842">
        <w:rPr>
          <w:rFonts w:ascii="Arial" w:hAnsi="Arial" w:cs="Arial"/>
          <w:sz w:val="24"/>
          <w:szCs w:val="24"/>
        </w:rPr>
        <w:t xml:space="preserve"> (KDE)</w:t>
      </w:r>
      <w:r>
        <w:rPr>
          <w:rFonts w:ascii="Arial" w:hAnsi="Arial" w:cs="Arial"/>
          <w:sz w:val="24"/>
          <w:szCs w:val="24"/>
        </w:rPr>
        <w:t xml:space="preserve"> é um algoritmo derivado da Krigagem</w:t>
      </w:r>
      <w:r w:rsidR="001C7826">
        <w:rPr>
          <w:rFonts w:ascii="Arial" w:hAnsi="Arial" w:cs="Arial"/>
          <w:sz w:val="24"/>
          <w:szCs w:val="24"/>
        </w:rPr>
        <w:t xml:space="preserve"> Ordinária</w:t>
      </w:r>
      <w:r>
        <w:rPr>
          <w:rFonts w:ascii="Arial" w:hAnsi="Arial" w:cs="Arial"/>
          <w:sz w:val="24"/>
          <w:szCs w:val="24"/>
        </w:rPr>
        <w:t xml:space="preserve"> por Deutsch &amp; Journel (1992) e Wackernagel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r w:rsidR="00403851">
        <w:rPr>
          <w:rFonts w:ascii="Arial" w:hAnsi="Arial" w:cs="Arial"/>
          <w:sz w:val="24"/>
          <w:szCs w:val="24"/>
        </w:rPr>
        <w:t xml:space="preserve">Hengl et al., 2007: </w:t>
      </w:r>
      <w:r w:rsidR="009E6BB7">
        <w:rPr>
          <w:rFonts w:ascii="Arial" w:hAnsi="Arial" w:cs="Arial"/>
          <w:sz w:val="24"/>
          <w:szCs w:val="24"/>
        </w:rPr>
        <w:t>Zanão, 2008).</w:t>
      </w:r>
      <w:r w:rsidR="00D23666">
        <w:rPr>
          <w:rFonts w:ascii="Arial" w:hAnsi="Arial" w:cs="Arial"/>
          <w:sz w:val="24"/>
          <w:szCs w:val="24"/>
        </w:rPr>
        <w:t xml:space="preserve"> Segundo Hengl (2009) principal diferencial do algoritmo de Krigagem com Deriva Externa em relação a Krigagem ordinária se dá na prévia utilização de uma regressão linear entre as amostras para então utilizar os erros da regressão linear (chamados de residuais ou deriva) como valores para a krigagem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 xml:space="preserve">No entanto, a utilização do algoritmo de Função Gaussiana Aleatória de Simulação (Gaussian Random Function Simulation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variogramas,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Krigagem com Deriva Externa (aqui denominado como regression-kriging). De: Hengl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Krigagem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&amp; Caers</w:t>
      </w:r>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r w:rsidR="0002355C">
        <w:rPr>
          <w:rFonts w:ascii="Arial" w:hAnsi="Arial" w:cs="Arial"/>
          <w:sz w:val="24"/>
          <w:szCs w:val="24"/>
        </w:rPr>
        <w:t>Dongas, 2016</w:t>
      </w:r>
      <w:r w:rsidR="00D337A1">
        <w:rPr>
          <w:rFonts w:ascii="Arial" w:hAnsi="Arial" w:cs="Arial"/>
          <w:sz w:val="24"/>
          <w:szCs w:val="24"/>
        </w:rPr>
        <w:t>; Benabbou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r w:rsidR="00420BBE">
        <w:rPr>
          <w:rFonts w:ascii="Arial" w:hAnsi="Arial" w:cs="Arial"/>
          <w:sz w:val="24"/>
          <w:szCs w:val="24"/>
        </w:rPr>
        <w:t xml:space="preserve">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r w:rsidR="00D27E07" w:rsidRPr="00D27E07">
        <w:rPr>
          <w:rFonts w:ascii="Arial" w:hAnsi="Arial" w:cs="Arial"/>
          <w:i/>
          <w:sz w:val="24"/>
          <w:szCs w:val="24"/>
        </w:rPr>
        <w:t>crosslines</w:t>
      </w:r>
      <w:r w:rsidR="00D27E07">
        <w:rPr>
          <w:rFonts w:ascii="Arial" w:hAnsi="Arial" w:cs="Arial"/>
          <w:sz w:val="24"/>
          <w:szCs w:val="24"/>
        </w:rPr>
        <w:t xml:space="preserve">. Os variogramas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r w:rsidR="00222AE4" w:rsidRPr="00222AE4">
        <w:rPr>
          <w:rFonts w:ascii="Arial" w:hAnsi="Arial" w:cs="Arial"/>
          <w:i/>
          <w:sz w:val="24"/>
          <w:szCs w:val="24"/>
        </w:rPr>
        <w:t>upscaling</w:t>
      </w:r>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r w:rsidRPr="008F04A0">
        <w:rPr>
          <w:rFonts w:ascii="Arial" w:hAnsi="Arial" w:cs="Arial"/>
          <w:i/>
          <w:sz w:val="24"/>
          <w:szCs w:val="24"/>
        </w:rPr>
        <w:t>ant</w:t>
      </w:r>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ant-tracking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net pay</w:t>
      </w:r>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(Cobb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de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r w:rsidRPr="00422C09">
        <w:rPr>
          <w:rFonts w:ascii="Arial" w:hAnsi="Arial" w:cs="Arial"/>
          <w:i/>
          <w:sz w:val="24"/>
          <w:szCs w:val="24"/>
        </w:rPr>
        <w:t>Hydrocarbon Pore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r w:rsidRPr="00F268FA">
        <w:rPr>
          <w:rFonts w:ascii="Arial" w:eastAsia="Times New Roman" w:hAnsi="Arial" w:cs="Arial"/>
          <w:i/>
          <w:sz w:val="24"/>
          <w:szCs w:val="24"/>
        </w:rPr>
        <w:t>pay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r w:rsidRPr="00F268FA">
        <w:rPr>
          <w:rFonts w:ascii="Arial" w:eastAsia="Times New Roman" w:hAnsi="Arial" w:cs="Arial"/>
          <w:i/>
          <w:sz w:val="24"/>
          <w:szCs w:val="24"/>
        </w:rPr>
        <w:t>pay</w:t>
      </w:r>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Net-to-Gross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(Melani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net pay</w:t>
      </w:r>
      <w:r w:rsidRPr="00B17B53">
        <w:rPr>
          <w:rFonts w:ascii="Arial" w:eastAsia="Times New Roman" w:hAnsi="Arial" w:cs="Arial"/>
          <w:sz w:val="24"/>
          <w:szCs w:val="24"/>
        </w:rPr>
        <w:t xml:space="preserve"> ou não realizadas por Melani et al. (2015). Para o cálculo de volumes baseados nos estudos de Melani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r w:rsidRPr="0041224B">
        <w:rPr>
          <w:rFonts w:ascii="Arial" w:eastAsia="Times New Roman" w:hAnsi="Arial" w:cs="Arial"/>
          <w:b/>
          <w:sz w:val="24"/>
          <w:szCs w:val="24"/>
        </w:rPr>
        <w:lastRenderedPageBreak/>
        <w:t xml:space="preserve">Clusterização </w:t>
      </w:r>
      <w:r w:rsidR="00B17B53" w:rsidRPr="0041224B">
        <w:rPr>
          <w:rFonts w:ascii="Arial" w:eastAsia="Times New Roman" w:hAnsi="Arial" w:cs="Arial"/>
          <w:b/>
          <w:sz w:val="24"/>
          <w:szCs w:val="24"/>
        </w:rPr>
        <w:t xml:space="preserve">K-Means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clusterização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K-Means é escalável para grandes bases de dados e produz resultados esféricos condizentes com o princípio geoestatístico de correlação entre variância e distância entre amostras (Romary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eletrofácies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clusterização K-Means é um método de classificação não supervisionado que classifica os dados de entrada em K diferentes classes. O método K-Means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K-Means é defi</w:t>
      </w:r>
      <w:r w:rsidR="00C510A6" w:rsidRPr="00B17B53">
        <w:rPr>
          <w:rFonts w:ascii="Arial" w:eastAsia="Times New Roman" w:hAnsi="Arial" w:cs="Arial"/>
          <w:sz w:val="24"/>
          <w:szCs w:val="24"/>
        </w:rPr>
        <w:t>nido por uma etapa inicial de atribuição de classes a cada ponto equivalente à construção de um Diagrama de Voronoi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98160C"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98160C"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98160C"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intra-classe</w:t>
      </w:r>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inter-classe</w:t>
      </w:r>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intra-classe é 0 e a variância inter-classe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Davies-Bouldin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Davies-Bouldin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Sönico,</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(Saaturação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.grdecl</w:t>
      </w:r>
      <w:r w:rsidR="006E6CA8" w:rsidRPr="00B17B53">
        <w:rPr>
          <w:rFonts w:ascii="Arial" w:eastAsia="Times New Roman" w:hAnsi="Arial" w:cs="Arial"/>
          <w:sz w:val="24"/>
          <w:szCs w:val="24"/>
        </w:rPr>
        <w:t xml:space="preserve"> do software Schlumberger Petrel para </w:t>
      </w:r>
      <w:r w:rsidR="00BF086F">
        <w:rPr>
          <w:rFonts w:ascii="Arial" w:eastAsia="Times New Roman" w:hAnsi="Arial" w:cs="Arial"/>
          <w:sz w:val="24"/>
          <w:szCs w:val="24"/>
        </w:rPr>
        <w:t>arrays da biblioteca</w:t>
      </w:r>
      <w:r w:rsidR="00D7096C">
        <w:rPr>
          <w:rFonts w:ascii="Arial" w:eastAsia="Times New Roman" w:hAnsi="Arial" w:cs="Arial"/>
          <w:sz w:val="24"/>
          <w:szCs w:val="24"/>
        </w:rPr>
        <w:t xml:space="preserve"> open source</w:t>
      </w:r>
      <w:r w:rsidR="00BF086F">
        <w:rPr>
          <w:rFonts w:ascii="Arial" w:eastAsia="Times New Roman" w:hAnsi="Arial" w:cs="Arial"/>
          <w:sz w:val="24"/>
          <w:szCs w:val="24"/>
        </w:rPr>
        <w:t xml:space="preserve"> NumPy</w:t>
      </w:r>
      <w:r w:rsidR="00B7388B">
        <w:rPr>
          <w:rFonts w:ascii="Arial" w:eastAsia="Times New Roman" w:hAnsi="Arial" w:cs="Arial"/>
          <w:sz w:val="24"/>
          <w:szCs w:val="24"/>
        </w:rPr>
        <w:t xml:space="preserve"> (Oliphant, 2006)</w:t>
      </w:r>
      <w:r w:rsidR="00BF086F">
        <w:rPr>
          <w:rFonts w:ascii="Arial" w:eastAsia="Times New Roman" w:hAnsi="Arial" w:cs="Arial"/>
          <w:sz w:val="24"/>
          <w:szCs w:val="24"/>
        </w:rPr>
        <w:t xml:space="preserve"> e convertidos para tabelas .csv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(McKinney,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K-Means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Scikit-Learn (Pedregosa et al., 2011)</w:t>
      </w:r>
      <w:r w:rsidR="00024484">
        <w:rPr>
          <w:rFonts w:ascii="Arial" w:eastAsia="Times New Roman" w:hAnsi="Arial" w:cs="Arial"/>
          <w:sz w:val="24"/>
          <w:szCs w:val="24"/>
        </w:rPr>
        <w:t>, fonte do algoritmo de K-Means</w:t>
      </w:r>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r w:rsidR="00E31862" w:rsidRPr="00B17B53">
        <w:rPr>
          <w:rFonts w:ascii="Arial" w:eastAsia="Times New Roman" w:hAnsi="Arial" w:cs="Arial"/>
          <w:sz w:val="24"/>
          <w:szCs w:val="24"/>
        </w:rPr>
        <w:t xml:space="preserve">Matplotlib (Hunter, 2007) </w:t>
      </w:r>
      <w:r w:rsidR="00806449">
        <w:rPr>
          <w:rFonts w:ascii="Arial" w:eastAsia="Times New Roman" w:hAnsi="Arial" w:cs="Arial"/>
          <w:sz w:val="24"/>
          <w:szCs w:val="24"/>
        </w:rPr>
        <w:t xml:space="preserve">e Seaborn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Embora o método K-Means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K-Means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 xml:space="preserve">Outra limitação do K-Means, diretamente relacionada à sua natureza discreta, é a capacidade do algoritmo de classificar </w:t>
      </w:r>
      <w:r w:rsidR="002D6D65" w:rsidRPr="00B17B53">
        <w:rPr>
          <w:rFonts w:ascii="Arial" w:eastAsia="Times New Roman" w:hAnsi="Arial" w:cs="Arial"/>
          <w:sz w:val="24"/>
          <w:szCs w:val="24"/>
        </w:rPr>
        <w:t>pontos de natureza ambígua (Raykov et al., 2016), ou seja, para pontos próximos a fronteira de 2 classes, embora o K-Means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(Gaussian Mixture Models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K-Means.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(VanderPlas,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 xml:space="preserve">no método K-Means,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K-Means,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r w:rsidRPr="007C69A1">
        <w:rPr>
          <w:rFonts w:ascii="Arial" w:eastAsia="Times New Roman" w:hAnsi="Arial" w:cs="Arial"/>
          <w:i/>
          <w:iCs/>
          <w:sz w:val="24"/>
          <w:szCs w:val="24"/>
        </w:rPr>
        <w:t>ant</w:t>
      </w:r>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observa-se uma predominância de mergulhos sub</w:t>
      </w:r>
      <w:r w:rsidR="007C69A1">
        <w:rPr>
          <w:rFonts w:ascii="Arial" w:eastAsia="Times New Roman" w:hAnsi="Arial" w:cs="Arial"/>
          <w:sz w:val="24"/>
          <w:szCs w:val="24"/>
        </w:rPr>
        <w:t>-</w:t>
      </w:r>
      <w:r>
        <w:rPr>
          <w:rFonts w:ascii="Arial" w:eastAsia="Times New Roman" w:hAnsi="Arial" w:cs="Arial"/>
          <w:sz w:val="24"/>
          <w:szCs w:val="24"/>
        </w:rPr>
        <w:t>verticais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Ant-Tracking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r w:rsidR="00DE29AD" w:rsidRPr="00DE29AD">
        <w:rPr>
          <w:rFonts w:ascii="Arial" w:hAnsi="Arial" w:cs="Arial"/>
          <w:i/>
          <w:sz w:val="24"/>
          <w:szCs w:val="24"/>
        </w:rPr>
        <w:t>ant-tracking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Tomaso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microporosidade; e uma zona norte, com porosidade primária e pouco fraturada. Considerando esta divisão</w:t>
      </w:r>
      <w:r w:rsidR="00A505E2">
        <w:rPr>
          <w:rFonts w:ascii="Arial" w:hAnsi="Arial" w:cs="Arial"/>
          <w:sz w:val="24"/>
          <w:szCs w:val="24"/>
        </w:rPr>
        <w:t xml:space="preserve"> e assumindo o Ant-Tracking como uma medida do grau de fraturamento da rocha</w:t>
      </w:r>
      <w:r>
        <w:rPr>
          <w:rFonts w:ascii="Arial" w:hAnsi="Arial" w:cs="Arial"/>
          <w:sz w:val="24"/>
          <w:szCs w:val="24"/>
        </w:rPr>
        <w:t xml:space="preserve">, observa-se a variação dos valores de Ant-Tracking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os valores de Ant-Tracking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Ant-Tracking e Latitudes e tão pouco é possível observar valores de Ant-Tracking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r w:rsidR="00476EA3" w:rsidRPr="00476EA3">
        <w:rPr>
          <w:rFonts w:ascii="Arial" w:hAnsi="Arial" w:cs="Arial"/>
          <w:sz w:val="24"/>
          <w:szCs w:val="24"/>
        </w:rPr>
        <w:t xml:space="preserve">ant-tracking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fraturament</w:t>
      </w:r>
      <w:r w:rsidR="00A97B61">
        <w:rPr>
          <w:rFonts w:ascii="Arial" w:hAnsi="Arial" w:cs="Arial"/>
          <w:sz w:val="24"/>
          <w:szCs w:val="24"/>
        </w:rPr>
        <w:t>o</w:t>
      </w:r>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Bachrach,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Ant-Tracking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de altos valores de Ant-Tracking.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Ant-Tracking nas diferentes Zonas do volume sísmico. Embora a Zona Sul mostre um valor média de Ant-Tracking superior tanto à Zona Norte quanto a região não reservatóri</w:t>
      </w:r>
      <w:r>
        <w:rPr>
          <w:rFonts w:ascii="Arial" w:hAnsi="Arial" w:cs="Arial"/>
          <w:b/>
          <w:color w:val="auto"/>
          <w:sz w:val="20"/>
          <w:szCs w:val="20"/>
        </w:rPr>
        <w:t>o</w:t>
      </w:r>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fraturamento consideravelmente maior que a Zona Norte (659). De maneira similar, na Zona Norte células com altos valores de ant-tracking ocorrem primariamente associadas a feições lineares de grande escala enquanto na Zona Sul estes valores ocorrem de maneira disseminada ao longo do volume. O valor médio de ant-tracking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Os resultados obtidos corroboram com as observações de Tomaso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cut-offs mínimos de ant-tracking e analisar a quais zonas cada célula pertence é possível representar de maneira simples este zoneamento (Figura 22). As células com valores de ant-tracking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8 e 0, valores que se correlacionam com elevadas intensidades de fraturamento,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r w:rsidRPr="009C7CB3">
        <w:rPr>
          <w:rFonts w:ascii="Arial" w:hAnsi="Arial" w:cs="Arial"/>
          <w:b/>
          <w:i/>
          <w:iCs/>
          <w:sz w:val="24"/>
          <w:szCs w:val="24"/>
        </w:rPr>
        <w:t>Upscaling</w:t>
      </w:r>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222DAA1" w14:textId="77777777"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r w:rsidRPr="000379D6">
        <w:rPr>
          <w:rFonts w:ascii="Arial" w:hAnsi="Arial" w:cs="Arial"/>
          <w:i/>
          <w:iCs/>
          <w:sz w:val="24"/>
          <w:szCs w:val="24"/>
        </w:rPr>
        <w:t>upscaling</w:t>
      </w:r>
      <w:r w:rsidRPr="000379D6">
        <w:rPr>
          <w:rFonts w:ascii="Arial" w:hAnsi="Arial" w:cs="Arial"/>
          <w:sz w:val="24"/>
          <w:szCs w:val="24"/>
        </w:rPr>
        <w:t xml:space="preserve"> por média móvel apresentado anteriormente (Figura 12), os dados de petrofísica de poço foram transformados da escala de poço para a escala do modelo estrutural, populando células que interceptam os poços e criando grids colunares. A distribuição estatística dos dados antes e depois da transformação é utilizada para avaliar o resultado do </w:t>
      </w:r>
      <w:r w:rsidRPr="000379D6">
        <w:rPr>
          <w:rFonts w:ascii="Arial" w:hAnsi="Arial" w:cs="Arial"/>
          <w:i/>
          <w:iCs/>
          <w:sz w:val="24"/>
          <w:szCs w:val="24"/>
        </w:rPr>
        <w:t>upscaling</w:t>
      </w:r>
      <w:r w:rsidRPr="000379D6">
        <w:rPr>
          <w:rFonts w:ascii="Arial" w:hAnsi="Arial" w:cs="Arial"/>
          <w:sz w:val="24"/>
          <w:szCs w:val="24"/>
        </w:rPr>
        <w:t>. Em seguida é feito o modelamento geoestatístico destas propriedades para as zonas inter-poços, populando o modelo de reservatório com valores para as medidas petrofísicas de poço.</w:t>
      </w:r>
    </w:p>
    <w:p w14:paraId="778FE36F" w14:textId="700919B5"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0379D6">
        <w:rPr>
          <w:rFonts w:ascii="Arial" w:hAnsi="Arial" w:cs="Arial"/>
          <w:sz w:val="24"/>
          <w:szCs w:val="24"/>
          <w:u w:val="single"/>
        </w:rPr>
        <w:t>baseados</w:t>
      </w:r>
      <w:r w:rsidRPr="000379D6">
        <w:rPr>
          <w:rFonts w:ascii="Arial" w:hAnsi="Arial" w:cs="Arial"/>
          <w:sz w:val="24"/>
          <w:szCs w:val="24"/>
        </w:rPr>
        <w:t xml:space="preserve"> em dados de petrofísica de poço. As propriedades foram modeladas utilizando o algoritmo de GRFS (Gaussian Random Function Simulation, GRFS), onde valores na porção estruturada dos variogramas são modelados usando técnicas krigagem e valores na porção não </w:t>
      </w:r>
      <w:r w:rsidRPr="000379D6">
        <w:rPr>
          <w:rFonts w:ascii="Arial" w:hAnsi="Arial" w:cs="Arial"/>
          <w:sz w:val="24"/>
          <w:szCs w:val="24"/>
        </w:rPr>
        <w:lastRenderedPageBreak/>
        <w:t>estruturada dos variogramas são definidos por uma simulação condicional baseada na distribuição dos dados de entrada.</w:t>
      </w:r>
    </w:p>
    <w:p w14:paraId="62183285" w14:textId="46D7F83D" w:rsidR="00366C5C" w:rsidRDefault="00A37E15" w:rsidP="00366C5C">
      <w:pPr>
        <w:spacing w:line="360" w:lineRule="auto"/>
        <w:ind w:firstLine="708"/>
        <w:jc w:val="both"/>
        <w:rPr>
          <w:rFonts w:ascii="Arial" w:hAnsi="Arial" w:cs="Arial"/>
          <w:sz w:val="24"/>
          <w:szCs w:val="24"/>
        </w:rPr>
      </w:pPr>
      <w:bookmarkStart w:id="53"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r w:rsidRPr="001E2D45">
        <w:rPr>
          <w:rFonts w:ascii="Arial" w:hAnsi="Arial" w:cs="Arial"/>
          <w:i/>
          <w:sz w:val="24"/>
          <w:szCs w:val="24"/>
        </w:rPr>
        <w:t>crosslines</w:t>
      </w:r>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upscaling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3"/>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4"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4"/>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691FE615">
            <wp:extent cx="5689337" cy="7638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689337" cy="763813"/>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Pr="009035F3" w:rsidRDefault="00FC01FE" w:rsidP="00366C5C">
      <w:pPr>
        <w:spacing w:line="360" w:lineRule="auto"/>
        <w:ind w:firstLine="708"/>
        <w:jc w:val="both"/>
        <w:rPr>
          <w:rFonts w:ascii="Arial" w:hAnsi="Arial" w:cs="Arial"/>
          <w:sz w:val="24"/>
          <w:szCs w:val="24"/>
          <w:u w:val="single"/>
        </w:rPr>
      </w:pPr>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25E89370" w14:textId="77777777" w:rsidR="007B10EB" w:rsidRPr="007B10EB"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 </w:t>
      </w:r>
      <w:r w:rsidRPr="007B10EB">
        <w:rPr>
          <w:rFonts w:ascii="Arial" w:eastAsia="Times New Roman" w:hAnsi="Arial" w:cs="Arial"/>
          <w:bCs/>
          <w:i/>
          <w:iCs/>
          <w:sz w:val="24"/>
          <w:szCs w:val="24"/>
        </w:rPr>
        <w:t>upscaling</w:t>
      </w:r>
      <w:r w:rsidRPr="007B10EB">
        <w:rPr>
          <w:rFonts w:ascii="Arial" w:eastAsia="Times New Roman" w:hAnsi="Arial" w:cs="Arial"/>
          <w:bCs/>
          <w:sz w:val="24"/>
          <w:szCs w:val="24"/>
        </w:rPr>
        <w:t xml:space="preserve"> dos dados de GR, quando comparado aos dados de poço subestima a quantidade de células com valores entre 30 e 40 gAPI, no entanto, a distribuição dos dados de poço é mantida de maneira geral (Figura 23). Nas visualizações em mapa e perfil é possível observar uma transição de valores em torno de 30 gAPI em células mais profundas próximas ao contato óleo-água para valores em torno de 60 gAPI para células mais próximas ao horizonte do topo do Quissamã. Os valores médios de GR são similares na porção sul e norte do reservatório com coeficientes de variação similares nas 2 zonas (Tabela 6). É possível diferenciar a variância nas duas zonas na visão em perfil, onde a porção norte mostra valores em torno de 60 gAPI intercalados com valores em torno de 30 gAPI enquanto a porção sul apresenta transição mais relacionada com a profundidade (Figura 24).</w:t>
      </w:r>
    </w:p>
    <w:p w14:paraId="69F7EF18" w14:textId="6065977A" w:rsidR="003258A5"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lastRenderedPageBreak/>
        <w:t>Os resultados do modelamento de dados de raio gama sugerem a ocorrência de fácies folhelho ou granulometrias mais finas cobrindo e se intercalando às sequências carbonáticas do Quissamã, em especial em regiões próximas ao topo da Formação, sugerindo inicio de transição para a Formação Outeiro. Ao mesmo tempo, os valores mais altos associados ao alto estrutural na porção sul do reservatório também podem estar associados a presença de hidrocarbonetos.</w:t>
      </w:r>
    </w:p>
    <w:p w14:paraId="785830A1" w14:textId="77777777" w:rsidR="00EB32C0" w:rsidRDefault="00EB32C0" w:rsidP="007B10EB">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7C65C518" w:rsidR="003258A5" w:rsidRPr="001A2263" w:rsidRDefault="003258A5" w:rsidP="003258A5">
      <w:pPr>
        <w:pStyle w:val="Legenda"/>
        <w:rPr>
          <w:rFonts w:ascii="Arial" w:hAnsi="Arial" w:cs="Arial"/>
          <w:b/>
          <w:color w:val="auto"/>
          <w:sz w:val="20"/>
          <w:szCs w:val="20"/>
        </w:rPr>
      </w:pPr>
      <w:bookmarkStart w:id="55"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5"/>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Os dados após upscaling subestimam valores em torno de 30 gAPI</w:t>
      </w:r>
      <w:r w:rsidR="00EF56DE">
        <w:rPr>
          <w:rFonts w:ascii="Arial" w:hAnsi="Arial" w:cs="Arial"/>
          <w:b/>
          <w:color w:val="auto"/>
          <w:sz w:val="20"/>
          <w:szCs w:val="20"/>
        </w:rPr>
        <w:t xml:space="preserve"> mas honram de maneira geral a distribuição original dos dados de poço. Dados modelados (em azul) mantem a distribuição dos dados de entrada (em </w:t>
      </w:r>
      <w:r w:rsidR="009427A9">
        <w:rPr>
          <w:rFonts w:ascii="Arial" w:hAnsi="Arial" w:cs="Arial"/>
          <w:b/>
          <w:color w:val="auto"/>
          <w:sz w:val="20"/>
          <w:szCs w:val="20"/>
        </w:rPr>
        <w:t>vermelho</w:t>
      </w:r>
      <w:r w:rsidR="00EF56DE">
        <w:rPr>
          <w:rFonts w:ascii="Arial" w:hAnsi="Arial" w:cs="Arial"/>
          <w:b/>
          <w:color w:val="auto"/>
          <w:sz w:val="20"/>
          <w:szCs w:val="20"/>
        </w:rPr>
        <w:t>).</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570CA2EF" w:rsidR="003258A5" w:rsidRPr="00EB05BD" w:rsidRDefault="003258A5" w:rsidP="00EB05BD">
      <w:pPr>
        <w:pStyle w:val="Legenda"/>
        <w:jc w:val="center"/>
        <w:rPr>
          <w:rFonts w:ascii="Arial" w:hAnsi="Arial" w:cs="Arial"/>
          <w:b/>
          <w:color w:val="auto"/>
          <w:sz w:val="20"/>
        </w:rPr>
      </w:pPr>
      <w:bookmarkStart w:id="56"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F4CE2">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6"/>
      <w:r w:rsidR="00EF56DE">
        <w:rPr>
          <w:rFonts w:ascii="Arial" w:hAnsi="Arial" w:cs="Arial"/>
          <w:b/>
          <w:color w:val="auto"/>
          <w:sz w:val="20"/>
        </w:rPr>
        <w:t>, sugerindo transição dos carbonatos da Formação Quissamã para fácies de menor granulometria como folhelhos.</w:t>
      </w:r>
    </w:p>
    <w:p w14:paraId="356890D1" w14:textId="50E883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p>
    <w:p w14:paraId="1DA92F60" w14:textId="77777777" w:rsidR="007B10EB" w:rsidRDefault="00366C5C" w:rsidP="007B10EB">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7B10EB" w:rsidRPr="007B10EB">
        <w:rPr>
          <w:rFonts w:ascii="Arial" w:eastAsia="Times New Roman" w:hAnsi="Arial" w:cs="Arial"/>
          <w:bCs/>
          <w:sz w:val="24"/>
          <w:szCs w:val="24"/>
        </w:rPr>
        <w:t>Os dados de perfil sônico apresentam uma distribuição aproximadamente normal com média em torno de 80 μs/ft tanto para os dados de entrada como para os dados após upscaling e modelados (Figura 25). Nos modelos em mapa e perfil se observa assim como nos modelos de raio gama uma transição de baixos valores próximos ao contato óleo-água para altos valores próximos ao topo do Quissamã, bem como variância nos valores da zona norte relacionada a intercalação de camadas de altos e baixos valores (Figura 26).</w:t>
      </w:r>
    </w:p>
    <w:p w14:paraId="77FCD3E1" w14:textId="196204FA" w:rsidR="00366C5C"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Os valores obtidos para o modelo variam primariamente entre 60 e 100 μs/ft, valores consideravelmente superiores aos valores típicos entre 40 e 50 μs/ft para minerais carbonáticos como calcita e dolomita, sendo valores esperados para filosilicatos como feldspatos ou argilas. O perfil sônico, no entanto, é altamente influenciado pela porosidade, uma vez que a resposta de fluídos no perfil é muito alta, assim provavelmente explicando os valores observados. Ao mesmo tempo, os valores em torno de 100 μs/ft próximos ao topo do Quissamã podem fornecer evidência de transição de fácies, embora os valores observados associados ao alto estrutural na região sudoeste do reservatório podem sugerir altas porosidades.</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4020F959"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do perfil sônico (DT). Os dados após upscaling honram de maneira geral a distribuição original aproximadamente normal dos dados de poço.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65715A9B"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74A37A3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p>
    <w:p w14:paraId="7C3DF476" w14:textId="77777777" w:rsidR="00EB32C0" w:rsidRPr="00EB32C0"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Os modelos de Densidade apresentam valores principalmente concentrados entre 2,3 g/cm³ e 2,5 g/cm³, com valores mínimos de 2,1 g/cm³ e máximos de 2,7g/cm³ e baixa variância (Figura 27). Assim como os dados derivados de perfil sônico, dados de densidade são largamente dependentes da porosidade da rocha, sendo especialmente difícil a inferência de litologias pelo uso exclusivo dos dados de densidade devido a densidade aproximadamente similar da maior parte dos minerais encontrados comumente em reservatórios carbonáticos da Bacia de Santos. Assim como para os outros modelos, a variância dos dados na zona norte é bastante superior à variância na zona sul, embora esta diferencia de variância não seja evidente nas visualizações em mapa e perfil (Figura 28).</w:t>
      </w:r>
    </w:p>
    <w:p w14:paraId="545FDCBA" w14:textId="55939257" w:rsidR="00366C5C"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Na visualização em perfil é possível notar uma região de baixa densidade associada ao alto estrutural na porção sudoeste do reservatório, sugerindo uma região de alta porosidade em meio ao reservatório. Outras camadas de baixa densidade podem ser observadas ao longo do perfil, em especial na região nordeste do modelo, com muitas pequenas intercalações de zonas de baixa densidade com alta densidade, justificando a alta variância observada na Tabela 6 para os dados modelados para a zona norte.</w:t>
      </w:r>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7069649C"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91E8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densidade (RHOB). Os dados após upscaling honram de maneira geral e concentram-se em valores entre 2,3 g/cm³ e 2,5 g/cm³.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7832F18A"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91E8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w:t>
      </w:r>
      <w:r w:rsidR="00232DA0">
        <w:rPr>
          <w:rFonts w:ascii="Arial" w:hAnsi="Arial" w:cs="Arial"/>
          <w:b/>
          <w:color w:val="auto"/>
          <w:sz w:val="20"/>
        </w:rPr>
        <w:t>alta</w:t>
      </w:r>
      <w:r w:rsidR="00FA2D0F">
        <w:rPr>
          <w:rFonts w:ascii="Arial" w:hAnsi="Arial" w:cs="Arial"/>
          <w:b/>
          <w:color w:val="auto"/>
          <w:sz w:val="20"/>
        </w:rPr>
        <w:t xml:space="preserve">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3042C50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p>
    <w:p w14:paraId="16B7CB90" w14:textId="695E3E77" w:rsidR="00366C5C" w:rsidRDefault="001A24A3" w:rsidP="00366C5C">
      <w:pPr>
        <w:spacing w:before="240" w:line="360" w:lineRule="auto"/>
        <w:ind w:firstLine="708"/>
        <w:jc w:val="both"/>
        <w:outlineLvl w:val="2"/>
        <w:rPr>
          <w:rFonts w:ascii="Arial" w:eastAsia="Times New Roman" w:hAnsi="Arial" w:cs="Arial"/>
          <w:bCs/>
          <w:sz w:val="24"/>
          <w:szCs w:val="24"/>
        </w:rPr>
      </w:pPr>
      <w:r w:rsidRPr="001A24A3">
        <w:rPr>
          <w:rFonts w:ascii="Arial" w:eastAsia="Times New Roman" w:hAnsi="Arial" w:cs="Arial"/>
          <w:bCs/>
          <w:sz w:val="24"/>
          <w:szCs w:val="24"/>
        </w:rPr>
        <w:t>Os dados de porosidade efetiva mostram valores distribuídos de forma aproximadamente normal centrados em valores em torno de 20%, com valores mínimos próximos de 0 e máximos próximos de 50%, e assim como para os outros modelos, o método de upscaling honra esta distribuição (Figura 29). Na visualização em mapa é possível observar valores primariamente em torno de 20% na superfície do Quissamã com algumas zonas de baixa porosidade. Na visão em perfil é possível notar duas zonas principais de alta porosidade, uma zona associada ao alto estrutural da porção sudoeste do reservatório e outra zona na porção nordeste associada a um pico de 50% de porosidade.</w:t>
      </w:r>
    </w:p>
    <w:p w14:paraId="5F8F475A" w14:textId="16B125A9" w:rsidR="001A24A3" w:rsidRDefault="001A24A3" w:rsidP="00366C5C">
      <w:pPr>
        <w:spacing w:before="240" w:line="360" w:lineRule="auto"/>
        <w:ind w:firstLine="708"/>
        <w:jc w:val="both"/>
        <w:outlineLvl w:val="2"/>
        <w:rPr>
          <w:rFonts w:ascii="Arial" w:eastAsia="Times New Roman" w:hAnsi="Arial" w:cs="Arial"/>
          <w:bCs/>
          <w:sz w:val="24"/>
          <w:szCs w:val="24"/>
        </w:rPr>
      </w:pPr>
    </w:p>
    <w:p w14:paraId="5001C66D" w14:textId="77777777" w:rsidR="001A24A3" w:rsidRDefault="001A24A3" w:rsidP="001A24A3">
      <w:pPr>
        <w:keepNext/>
        <w:jc w:val="center"/>
      </w:pPr>
      <w:r>
        <w:rPr>
          <w:rFonts w:ascii="Arial" w:hAnsi="Arial" w:cs="Arial"/>
          <w:noProof/>
          <w:sz w:val="24"/>
          <w:szCs w:val="24"/>
        </w:rPr>
        <w:drawing>
          <wp:inline distT="0" distB="0" distL="0" distR="0" wp14:anchorId="5806A6DC" wp14:editId="422C6742">
            <wp:extent cx="4651554" cy="3101036"/>
            <wp:effectExtent l="0" t="0" r="0" b="444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5">
                      <a:extLst>
                        <a:ext uri="{28A0092B-C50C-407E-A947-70E740481C1C}">
                          <a14:useLocalDpi xmlns:a14="http://schemas.microsoft.com/office/drawing/2010/main" val="0"/>
                        </a:ext>
                      </a:extLst>
                    </a:blip>
                    <a:stretch>
                      <a:fillRect/>
                    </a:stretch>
                  </pic:blipFill>
                  <pic:spPr>
                    <a:xfrm>
                      <a:off x="0" y="0"/>
                      <a:ext cx="4651554" cy="3101036"/>
                    </a:xfrm>
                    <a:prstGeom prst="rect">
                      <a:avLst/>
                    </a:prstGeom>
                  </pic:spPr>
                </pic:pic>
              </a:graphicData>
            </a:graphic>
          </wp:inline>
        </w:drawing>
      </w:r>
    </w:p>
    <w:p w14:paraId="6F26266D" w14:textId="462988AA" w:rsidR="001A24A3" w:rsidRPr="001A2263" w:rsidRDefault="001A24A3" w:rsidP="001A24A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A62BA1">
        <w:rPr>
          <w:rFonts w:ascii="Arial" w:hAnsi="Arial" w:cs="Arial"/>
          <w:b/>
          <w:noProof/>
          <w:color w:val="auto"/>
          <w:sz w:val="20"/>
          <w:szCs w:val="20"/>
        </w:rPr>
        <w:t>29</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porosidade efetiva (PHIE). Os dados após upscaling mantem a distribuição normal concentrada em valores em torno de 20%.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259D13D8" w14:textId="77777777" w:rsidR="001A24A3" w:rsidRDefault="001A24A3" w:rsidP="001A24A3">
      <w:pPr>
        <w:keepNext/>
        <w:jc w:val="center"/>
      </w:pPr>
      <w:r>
        <w:rPr>
          <w:noProof/>
        </w:rPr>
        <w:lastRenderedPageBreak/>
        <w:drawing>
          <wp:inline distT="0" distB="0" distL="0" distR="0" wp14:anchorId="29EB72DF" wp14:editId="63333069">
            <wp:extent cx="5430812" cy="8004207"/>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6">
                      <a:extLst>
                        <a:ext uri="{28A0092B-C50C-407E-A947-70E740481C1C}">
                          <a14:useLocalDpi xmlns:a14="http://schemas.microsoft.com/office/drawing/2010/main" val="0"/>
                        </a:ext>
                      </a:extLst>
                    </a:blip>
                    <a:stretch>
                      <a:fillRect/>
                    </a:stretch>
                  </pic:blipFill>
                  <pic:spPr>
                    <a:xfrm>
                      <a:off x="0" y="0"/>
                      <a:ext cx="5430812" cy="8004207"/>
                    </a:xfrm>
                    <a:prstGeom prst="rect">
                      <a:avLst/>
                    </a:prstGeom>
                  </pic:spPr>
                </pic:pic>
              </a:graphicData>
            </a:graphic>
          </wp:inline>
        </w:drawing>
      </w:r>
    </w:p>
    <w:p w14:paraId="160EFCD8" w14:textId="2514247F" w:rsidR="001A24A3" w:rsidRPr="00ED2558" w:rsidRDefault="001A24A3" w:rsidP="001A24A3">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62BA1">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w:t>
      </w:r>
      <w:r w:rsidR="00232DA0">
        <w:rPr>
          <w:rFonts w:ascii="Arial" w:hAnsi="Arial" w:cs="Arial"/>
          <w:b/>
          <w:color w:val="auto"/>
          <w:sz w:val="20"/>
        </w:rPr>
        <w:t>alta porosidade</w:t>
      </w:r>
      <w:r>
        <w:rPr>
          <w:rFonts w:ascii="Arial" w:hAnsi="Arial" w:cs="Arial"/>
          <w:b/>
          <w:color w:val="auto"/>
          <w:sz w:val="20"/>
        </w:rPr>
        <w:t xml:space="preserve"> associados ao alto estrutural na porção sudoeste do reservatório</w:t>
      </w:r>
      <w:r w:rsidR="00232DA0">
        <w:rPr>
          <w:rFonts w:ascii="Arial" w:hAnsi="Arial" w:cs="Arial"/>
          <w:b/>
          <w:color w:val="auto"/>
          <w:sz w:val="20"/>
        </w:rPr>
        <w:t xml:space="preserve"> </w:t>
      </w:r>
      <w:r>
        <w:rPr>
          <w:rFonts w:ascii="Arial" w:hAnsi="Arial" w:cs="Arial"/>
          <w:b/>
          <w:color w:val="auto"/>
          <w:sz w:val="20"/>
        </w:rPr>
        <w:t>e</w:t>
      </w:r>
      <w:r w:rsidR="00232DA0">
        <w:rPr>
          <w:rFonts w:ascii="Arial" w:hAnsi="Arial" w:cs="Arial"/>
          <w:b/>
          <w:color w:val="auto"/>
          <w:sz w:val="20"/>
        </w:rPr>
        <w:t xml:space="preserve"> a um pico nos valores na porção nordeste</w:t>
      </w:r>
      <w:r>
        <w:rPr>
          <w:rFonts w:ascii="Arial" w:hAnsi="Arial" w:cs="Arial"/>
          <w:b/>
          <w:color w:val="auto"/>
          <w:sz w:val="20"/>
        </w:rPr>
        <w:t>.</w:t>
      </w:r>
    </w:p>
    <w:p w14:paraId="6730AEAA" w14:textId="3301B5C8"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BB6FA0">
        <w:rPr>
          <w:rFonts w:ascii="Arial" w:eastAsia="Times New Roman" w:hAnsi="Arial" w:cs="Arial"/>
          <w:b/>
          <w:sz w:val="24"/>
          <w:szCs w:val="24"/>
        </w:rPr>
        <w:t xml:space="preserve"> saturação de água (SW)</w:t>
      </w:r>
    </w:p>
    <w:p w14:paraId="3449F36B" w14:textId="4D075D57" w:rsidR="00366C5C" w:rsidRDefault="00A62BA1" w:rsidP="00366C5C">
      <w:pPr>
        <w:spacing w:before="240" w:line="360" w:lineRule="auto"/>
        <w:ind w:firstLine="708"/>
        <w:jc w:val="both"/>
        <w:outlineLvl w:val="2"/>
        <w:rPr>
          <w:rFonts w:ascii="Arial" w:eastAsia="Times New Roman" w:hAnsi="Arial" w:cs="Arial"/>
          <w:bCs/>
          <w:sz w:val="24"/>
          <w:szCs w:val="24"/>
        </w:rPr>
      </w:pPr>
      <w:r w:rsidRPr="00A62BA1">
        <w:rPr>
          <w:rFonts w:ascii="Arial" w:eastAsia="Times New Roman" w:hAnsi="Arial" w:cs="Arial"/>
          <w:bCs/>
          <w:sz w:val="24"/>
          <w:szCs w:val="24"/>
        </w:rPr>
        <w:t>A distribuição dos dados de saturação de água ocorre de maneira bastante heterogenia, ainda assim os dados modelados mantem a distribuição original dos dados de poço</w:t>
      </w:r>
      <w:r>
        <w:rPr>
          <w:rFonts w:ascii="Arial" w:eastAsia="Times New Roman" w:hAnsi="Arial" w:cs="Arial"/>
          <w:bCs/>
          <w:sz w:val="24"/>
          <w:szCs w:val="24"/>
        </w:rPr>
        <w:t>, subestimando valores próximos de 100%</w:t>
      </w:r>
      <w:r w:rsidRPr="00A62BA1">
        <w:rPr>
          <w:rFonts w:ascii="Arial" w:eastAsia="Times New Roman" w:hAnsi="Arial" w:cs="Arial"/>
          <w:bCs/>
          <w:sz w:val="24"/>
          <w:szCs w:val="24"/>
        </w:rPr>
        <w:t xml:space="preserve"> (Figura 30). Nota-se na visualização em mapa e perfil que os valores de saturação de água tendem a aumentar bastante próximos ao topo do Quissamã, indicando o fim da zona reservatório. Os valores de baixa saturação ocorrem primariamente associados ao alto estrutural na porção sudoeste do reservatório, mostrando uma grande zona de baixa saturação (Figura 31). Na porção norte do reservatório as regiões de baixa saturação ocorrem de maneira intercalada com regiões de alta saturação.</w:t>
      </w:r>
    </w:p>
    <w:p w14:paraId="183F9084" w14:textId="77777777" w:rsidR="00A62BA1" w:rsidRDefault="00A62BA1" w:rsidP="00A62BA1">
      <w:pPr>
        <w:keepNext/>
        <w:jc w:val="center"/>
      </w:pPr>
      <w:r>
        <w:rPr>
          <w:rFonts w:ascii="Arial" w:hAnsi="Arial" w:cs="Arial"/>
          <w:noProof/>
          <w:sz w:val="24"/>
          <w:szCs w:val="24"/>
        </w:rPr>
        <w:drawing>
          <wp:inline distT="0" distB="0" distL="0" distR="0" wp14:anchorId="2DA817C6" wp14:editId="5A9F54D8">
            <wp:extent cx="4615495" cy="3101036"/>
            <wp:effectExtent l="0" t="0" r="0" b="444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7">
                      <a:extLst>
                        <a:ext uri="{28A0092B-C50C-407E-A947-70E740481C1C}">
                          <a14:useLocalDpi xmlns:a14="http://schemas.microsoft.com/office/drawing/2010/main" val="0"/>
                        </a:ext>
                      </a:extLst>
                    </a:blip>
                    <a:stretch>
                      <a:fillRect/>
                    </a:stretch>
                  </pic:blipFill>
                  <pic:spPr>
                    <a:xfrm>
                      <a:off x="0" y="0"/>
                      <a:ext cx="4615495" cy="3101036"/>
                    </a:xfrm>
                    <a:prstGeom prst="rect">
                      <a:avLst/>
                    </a:prstGeom>
                  </pic:spPr>
                </pic:pic>
              </a:graphicData>
            </a:graphic>
          </wp:inline>
        </w:drawing>
      </w:r>
    </w:p>
    <w:p w14:paraId="5997C6A2" w14:textId="4534E7AE" w:rsidR="00A62BA1" w:rsidRPr="001A2263" w:rsidRDefault="00A62BA1" w:rsidP="00A62BA1">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31</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saturação de água (SW). Os dados modelados (azul) mantem a distribuição heterogênea dos dados de entrada (em </w:t>
      </w:r>
      <w:r w:rsidR="009427A9">
        <w:rPr>
          <w:rFonts w:ascii="Arial" w:hAnsi="Arial" w:cs="Arial"/>
          <w:b/>
          <w:color w:val="auto"/>
          <w:sz w:val="20"/>
          <w:szCs w:val="20"/>
        </w:rPr>
        <w:t>vermelho</w:t>
      </w:r>
      <w:r>
        <w:rPr>
          <w:rFonts w:ascii="Arial" w:hAnsi="Arial" w:cs="Arial"/>
          <w:b/>
          <w:color w:val="auto"/>
          <w:sz w:val="20"/>
          <w:szCs w:val="20"/>
        </w:rPr>
        <w:t>), embora subestime o número de células cujo espaço poroso é inteiramente saturado por água.</w:t>
      </w:r>
    </w:p>
    <w:p w14:paraId="2EAC14E9" w14:textId="77777777" w:rsidR="00A62BA1" w:rsidRDefault="00A62BA1" w:rsidP="00A62BA1">
      <w:pPr>
        <w:keepNext/>
        <w:jc w:val="center"/>
      </w:pPr>
      <w:r>
        <w:rPr>
          <w:noProof/>
        </w:rPr>
        <w:lastRenderedPageBreak/>
        <w:drawing>
          <wp:inline distT="0" distB="0" distL="0" distR="0" wp14:anchorId="617B57D4" wp14:editId="26C77F4B">
            <wp:extent cx="5430811" cy="8004207"/>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8">
                      <a:extLst>
                        <a:ext uri="{28A0092B-C50C-407E-A947-70E740481C1C}">
                          <a14:useLocalDpi xmlns:a14="http://schemas.microsoft.com/office/drawing/2010/main" val="0"/>
                        </a:ext>
                      </a:extLst>
                    </a:blip>
                    <a:stretch>
                      <a:fillRect/>
                    </a:stretch>
                  </pic:blipFill>
                  <pic:spPr>
                    <a:xfrm>
                      <a:off x="0" y="0"/>
                      <a:ext cx="5430811" cy="8004207"/>
                    </a:xfrm>
                    <a:prstGeom prst="rect">
                      <a:avLst/>
                    </a:prstGeom>
                  </pic:spPr>
                </pic:pic>
              </a:graphicData>
            </a:graphic>
          </wp:inline>
        </w:drawing>
      </w:r>
    </w:p>
    <w:p w14:paraId="1AAB033E" w14:textId="170ADD18" w:rsidR="00A62BA1" w:rsidRPr="00ED2558" w:rsidRDefault="00A62BA1" w:rsidP="00A62BA1">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alta porosidade associados ao alto estrutural na porção sudoeste do reservatório e a um pico nos valores na porção nordeste.</w:t>
      </w:r>
    </w:p>
    <w:p w14:paraId="05744182" w14:textId="75FEE79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 xml:space="preserve">Correlações entre propriedades </w:t>
      </w:r>
      <w:r w:rsidR="0011276D">
        <w:rPr>
          <w:rFonts w:ascii="Arial" w:eastAsia="Times New Roman" w:hAnsi="Arial" w:cs="Arial"/>
          <w:b/>
          <w:sz w:val="24"/>
          <w:szCs w:val="24"/>
        </w:rPr>
        <w:t xml:space="preserve">de rocha </w:t>
      </w:r>
      <w:r>
        <w:rPr>
          <w:rFonts w:ascii="Arial" w:eastAsia="Times New Roman" w:hAnsi="Arial" w:cs="Arial"/>
          <w:b/>
          <w:sz w:val="24"/>
          <w:szCs w:val="24"/>
        </w:rPr>
        <w:t>modeladas</w:t>
      </w:r>
    </w:p>
    <w:p w14:paraId="12C435F5" w14:textId="134936A2" w:rsidR="00366C5C" w:rsidRPr="00F658AF" w:rsidRDefault="0011276D" w:rsidP="0098160C">
      <w:pPr>
        <w:spacing w:before="240" w:line="360" w:lineRule="auto"/>
        <w:ind w:firstLine="708"/>
        <w:jc w:val="both"/>
        <w:outlineLvl w:val="2"/>
        <w:rPr>
          <w:rFonts w:ascii="Arial" w:eastAsia="Times New Roman" w:hAnsi="Arial" w:cs="Arial"/>
          <w:bCs/>
          <w:sz w:val="24"/>
          <w:szCs w:val="24"/>
          <w:u w:val="single"/>
        </w:rPr>
      </w:pPr>
      <w:r>
        <w:rPr>
          <w:rFonts w:ascii="Arial" w:eastAsia="Times New Roman" w:hAnsi="Arial" w:cs="Arial"/>
          <w:bCs/>
          <w:sz w:val="24"/>
          <w:szCs w:val="24"/>
        </w:rPr>
        <w:t>A análise dos valores modelados para as propriedades de rocha (GR, DT, RHOB, PHIE) permite inferências sobre</w:t>
      </w:r>
      <w:r w:rsidR="00BA27BA">
        <w:rPr>
          <w:rFonts w:ascii="Arial" w:eastAsia="Times New Roman" w:hAnsi="Arial" w:cs="Arial"/>
          <w:bCs/>
          <w:sz w:val="24"/>
          <w:szCs w:val="24"/>
        </w:rPr>
        <w:t xml:space="preserve"> a organização dos dados modelados em diferente fácies. A distribuição das propriedades de rocha não mostra grande variação </w:t>
      </w:r>
      <w:r w:rsidR="001341A1">
        <w:rPr>
          <w:rFonts w:ascii="Arial" w:eastAsia="Times New Roman" w:hAnsi="Arial" w:cs="Arial"/>
          <w:bCs/>
          <w:sz w:val="24"/>
          <w:szCs w:val="24"/>
        </w:rPr>
        <w:t>entre as zonas norte e sul do reservatório (Figura 33), indicando que embora dentro das zonas ocorram prováveis variações faciológicas (como observado nos modelos em mapa e seção), a composição das duas rochas é similar.</w:t>
      </w:r>
      <w:r w:rsidR="00B34D33">
        <w:rPr>
          <w:rFonts w:ascii="Arial" w:eastAsia="Times New Roman" w:hAnsi="Arial" w:cs="Arial"/>
          <w:bCs/>
          <w:sz w:val="24"/>
          <w:szCs w:val="24"/>
        </w:rPr>
        <w:t xml:space="preserve"> Picos locais na distribuição das propriedades podem indicar possíveis agrupamentos de dados e, consequentemente, a ocorrência de diferentes fácies. Observa-se isto em especial para os modelos de GR e RHOB, enquanto PHIE mostra diversos pequenos picos e DT mostra distribuições aproximadamente normais. Os valores de GR </w:t>
      </w:r>
      <w:r w:rsidR="001767B6">
        <w:rPr>
          <w:rFonts w:ascii="Arial" w:eastAsia="Times New Roman" w:hAnsi="Arial" w:cs="Arial"/>
          <w:bCs/>
          <w:sz w:val="24"/>
          <w:szCs w:val="24"/>
        </w:rPr>
        <w:t>sugerem</w:t>
      </w:r>
      <w:r w:rsidR="00B34D33">
        <w:rPr>
          <w:rFonts w:ascii="Arial" w:eastAsia="Times New Roman" w:hAnsi="Arial" w:cs="Arial"/>
          <w:bCs/>
          <w:sz w:val="24"/>
          <w:szCs w:val="24"/>
        </w:rPr>
        <w:t xml:space="preserve"> </w:t>
      </w:r>
      <w:r w:rsidR="00CD183E">
        <w:rPr>
          <w:rFonts w:ascii="Arial" w:eastAsia="Times New Roman" w:hAnsi="Arial" w:cs="Arial"/>
          <w:bCs/>
          <w:sz w:val="24"/>
          <w:szCs w:val="24"/>
        </w:rPr>
        <w:t>3</w:t>
      </w:r>
      <w:r w:rsidR="00B34D33">
        <w:rPr>
          <w:rFonts w:ascii="Arial" w:eastAsia="Times New Roman" w:hAnsi="Arial" w:cs="Arial"/>
          <w:bCs/>
          <w:sz w:val="24"/>
          <w:szCs w:val="24"/>
        </w:rPr>
        <w:t xml:space="preserve"> principais agrupamentos, um principal em torno de 25 gAPI, um segundo agrupamento mais pronunciado na zona norte em torno de 40 gAPI</w:t>
      </w:r>
      <w:r w:rsidR="00CD183E">
        <w:rPr>
          <w:rFonts w:ascii="Arial" w:eastAsia="Times New Roman" w:hAnsi="Arial" w:cs="Arial"/>
          <w:bCs/>
          <w:sz w:val="24"/>
          <w:szCs w:val="24"/>
        </w:rPr>
        <w:t xml:space="preserve"> e</w:t>
      </w:r>
      <w:r w:rsidR="001767B6">
        <w:rPr>
          <w:rFonts w:ascii="Arial" w:eastAsia="Times New Roman" w:hAnsi="Arial" w:cs="Arial"/>
          <w:bCs/>
          <w:sz w:val="24"/>
          <w:szCs w:val="24"/>
        </w:rPr>
        <w:t xml:space="preserve"> um terceiro em torno de 60 gAPI.</w:t>
      </w:r>
      <w:r w:rsidR="009427A9">
        <w:rPr>
          <w:rFonts w:ascii="Arial" w:eastAsia="Times New Roman" w:hAnsi="Arial" w:cs="Arial"/>
          <w:bCs/>
          <w:sz w:val="24"/>
          <w:szCs w:val="24"/>
        </w:rPr>
        <w:t xml:space="preserve"> Já a distribuição dos valores de RHOB indica</w:t>
      </w:r>
      <w:r w:rsidR="00762BD8">
        <w:rPr>
          <w:rFonts w:ascii="Arial" w:eastAsia="Times New Roman" w:hAnsi="Arial" w:cs="Arial"/>
          <w:bCs/>
          <w:sz w:val="24"/>
          <w:szCs w:val="24"/>
        </w:rPr>
        <w:t xml:space="preserve"> dois agrupamentos, um em torno de 2,3 g/cm³ e outro em torno de 2,5 g/cm³.</w:t>
      </w:r>
    </w:p>
    <w:p w14:paraId="13F89DFA" w14:textId="7223BCBB" w:rsidR="001341A1" w:rsidRDefault="001341A1" w:rsidP="001341A1">
      <w:pPr>
        <w:keepNext/>
        <w:spacing w:line="360" w:lineRule="auto"/>
        <w:jc w:val="center"/>
      </w:pPr>
      <w:r>
        <w:rPr>
          <w:rFonts w:ascii="Arial" w:hAnsi="Arial" w:cs="Arial"/>
          <w:noProof/>
          <w:sz w:val="24"/>
          <w:szCs w:val="24"/>
        </w:rPr>
        <w:drawing>
          <wp:inline distT="0" distB="0" distL="0" distR="0" wp14:anchorId="4EAC199F" wp14:editId="1E66F69D">
            <wp:extent cx="5468063" cy="1700593"/>
            <wp:effectExtent l="0" t="0" r="0" b="0"/>
            <wp:docPr id="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5468063" cy="1700593"/>
                    </a:xfrm>
                    <a:prstGeom prst="rect">
                      <a:avLst/>
                    </a:prstGeom>
                  </pic:spPr>
                </pic:pic>
              </a:graphicData>
            </a:graphic>
          </wp:inline>
        </w:drawing>
      </w:r>
      <w:r w:rsidR="0051408F">
        <w:t xml:space="preserve">  </w:t>
      </w:r>
    </w:p>
    <w:p w14:paraId="43D14760" w14:textId="262787D1" w:rsidR="001341A1" w:rsidRDefault="001341A1" w:rsidP="001341A1">
      <w:pPr>
        <w:pStyle w:val="Legenda"/>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Pr>
          <w:rFonts w:ascii="Arial" w:hAnsi="Arial" w:cs="Arial"/>
          <w:b/>
          <w:bCs/>
          <w:noProof/>
          <w:color w:val="auto"/>
          <w:sz w:val="20"/>
          <w:szCs w:val="20"/>
        </w:rPr>
        <w:t>33</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w:t>
      </w:r>
      <w:r>
        <w:rPr>
          <w:rFonts w:ascii="Arial" w:hAnsi="Arial" w:cs="Arial"/>
          <w:b/>
          <w:bCs/>
          <w:color w:val="auto"/>
          <w:sz w:val="20"/>
          <w:szCs w:val="20"/>
        </w:rPr>
        <w:t>Funções de densidade de probabilidade para cada propriedade de rocha modelada para as zonas norte e sul. Observa-se o comportamento similar para as 4 propriedades nas 2 zonas, com DT mostrando comportamento com maiores valores médios e maior heterogeneidade na zona sul.</w:t>
      </w:r>
    </w:p>
    <w:p w14:paraId="3363B3AC" w14:textId="55921C50" w:rsidR="00211E0A" w:rsidRDefault="00211E0A" w:rsidP="001E2D45">
      <w:pPr>
        <w:rPr>
          <w:rFonts w:ascii="Arial" w:eastAsia="Times New Roman" w:hAnsi="Arial" w:cs="Arial"/>
          <w:b/>
          <w:sz w:val="24"/>
          <w:szCs w:val="24"/>
        </w:rPr>
      </w:pPr>
    </w:p>
    <w:p w14:paraId="5C24EFDB" w14:textId="6E1A8353" w:rsidR="00B34D33" w:rsidRDefault="00B34D33" w:rsidP="0098160C">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Gráficos de dispersão</w:t>
      </w:r>
      <w:r w:rsidR="0092099E">
        <w:rPr>
          <w:rFonts w:ascii="Arial" w:eastAsia="Times New Roman" w:hAnsi="Arial" w:cs="Arial"/>
          <w:bCs/>
          <w:sz w:val="24"/>
          <w:szCs w:val="24"/>
        </w:rPr>
        <w:t xml:space="preserve"> e de densidade de pontos</w:t>
      </w:r>
      <w:r>
        <w:rPr>
          <w:rFonts w:ascii="Arial" w:eastAsia="Times New Roman" w:hAnsi="Arial" w:cs="Arial"/>
          <w:bCs/>
          <w:sz w:val="24"/>
          <w:szCs w:val="24"/>
        </w:rPr>
        <w:t xml:space="preserve"> para cada par de propriedades são gerados poss</w:t>
      </w:r>
      <w:r w:rsidR="0098160C">
        <w:rPr>
          <w:rFonts w:ascii="Arial" w:eastAsia="Times New Roman" w:hAnsi="Arial" w:cs="Arial"/>
          <w:bCs/>
          <w:sz w:val="24"/>
          <w:szCs w:val="24"/>
        </w:rPr>
        <w:t>ibilitando a observação de possíveis</w:t>
      </w:r>
      <w:r>
        <w:rPr>
          <w:rFonts w:ascii="Arial" w:eastAsia="Times New Roman" w:hAnsi="Arial" w:cs="Arial"/>
          <w:bCs/>
          <w:sz w:val="24"/>
          <w:szCs w:val="24"/>
        </w:rPr>
        <w:t xml:space="preserve"> agrupamentos de dados </w:t>
      </w:r>
      <w:r w:rsidR="0098160C">
        <w:rPr>
          <w:rFonts w:ascii="Arial" w:eastAsia="Times New Roman" w:hAnsi="Arial" w:cs="Arial"/>
          <w:bCs/>
          <w:sz w:val="24"/>
          <w:szCs w:val="24"/>
        </w:rPr>
        <w:t>e tendências entre as diferentes zonas</w:t>
      </w:r>
      <w:r w:rsidR="00EF556D">
        <w:rPr>
          <w:rFonts w:ascii="Arial" w:eastAsia="Times New Roman" w:hAnsi="Arial" w:cs="Arial"/>
          <w:bCs/>
          <w:sz w:val="24"/>
          <w:szCs w:val="24"/>
        </w:rPr>
        <w:t>.</w:t>
      </w:r>
    </w:p>
    <w:p w14:paraId="411D40AD" w14:textId="2B50501B" w:rsidR="00C143EA" w:rsidRPr="00CD183E" w:rsidRDefault="00EF556D"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A dispersão dos dados de </w:t>
      </w:r>
      <w:r w:rsidR="00CD183E">
        <w:rPr>
          <w:rFonts w:ascii="Arial" w:eastAsia="Times New Roman" w:hAnsi="Arial" w:cs="Arial"/>
          <w:bCs/>
          <w:sz w:val="24"/>
          <w:szCs w:val="24"/>
        </w:rPr>
        <w:t xml:space="preserve">GR </w:t>
      </w:r>
      <w:r>
        <w:rPr>
          <w:rFonts w:ascii="Arial" w:eastAsia="Times New Roman" w:hAnsi="Arial" w:cs="Arial"/>
          <w:bCs/>
          <w:sz w:val="24"/>
          <w:szCs w:val="24"/>
        </w:rPr>
        <w:t>quando comparados aos dados d</w:t>
      </w:r>
      <w:r w:rsidR="00CD183E">
        <w:rPr>
          <w:rFonts w:ascii="Arial" w:eastAsia="Times New Roman" w:hAnsi="Arial" w:cs="Arial"/>
          <w:bCs/>
          <w:sz w:val="24"/>
          <w:szCs w:val="24"/>
        </w:rPr>
        <w:t>e DT</w:t>
      </w:r>
      <w:r>
        <w:rPr>
          <w:rFonts w:ascii="Arial" w:eastAsia="Times New Roman" w:hAnsi="Arial" w:cs="Arial"/>
          <w:bCs/>
          <w:sz w:val="24"/>
          <w:szCs w:val="24"/>
        </w:rPr>
        <w:t xml:space="preserve"> mostram maior correlação entre os valores na zona sul do reservatório (Figura 34), a ocorrência de camadas com valores alternados para DT na zona norte provavelmente explica </w:t>
      </w:r>
      <w:r w:rsidR="00C143EA">
        <w:rPr>
          <w:rFonts w:ascii="Arial" w:eastAsia="Times New Roman" w:hAnsi="Arial" w:cs="Arial"/>
          <w:bCs/>
          <w:sz w:val="24"/>
          <w:szCs w:val="24"/>
        </w:rPr>
        <w:t xml:space="preserve">o </w:t>
      </w:r>
      <w:r w:rsidR="00C143EA">
        <w:rPr>
          <w:rFonts w:ascii="Arial" w:eastAsia="Times New Roman" w:hAnsi="Arial" w:cs="Arial"/>
          <w:bCs/>
          <w:sz w:val="24"/>
          <w:szCs w:val="24"/>
        </w:rPr>
        <w:lastRenderedPageBreak/>
        <w:t>menor coeficiente de correlação observado, dado que os mais altos valores para GR associam-se primariamente com regiões próximas ao topo do reservatório. Ao mesmo tempo, é possível observar 3 diferentes agrupamentos de dados no gráfico de densidade de pontos, com grupos com respostas mais altas para ambas as propriedades possivelmente indicando porções com conteúdo argiloso no reservatório.</w:t>
      </w:r>
    </w:p>
    <w:p w14:paraId="1DDE2864" w14:textId="1541E745" w:rsidR="00CD183E" w:rsidRDefault="00C143EA"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O mesmo pode ser notado ao se observar a</w:t>
      </w:r>
      <w:r>
        <w:rPr>
          <w:rFonts w:ascii="Arial" w:eastAsia="Times New Roman" w:hAnsi="Arial" w:cs="Arial"/>
          <w:bCs/>
          <w:sz w:val="24"/>
          <w:szCs w:val="24"/>
        </w:rPr>
        <w:t xml:space="preserve"> dispersão dos dados de </w:t>
      </w:r>
      <w:r w:rsidR="00CD183E">
        <w:rPr>
          <w:rFonts w:ascii="Arial" w:eastAsia="Times New Roman" w:hAnsi="Arial" w:cs="Arial"/>
          <w:bCs/>
          <w:sz w:val="24"/>
          <w:szCs w:val="24"/>
        </w:rPr>
        <w:t>GR</w:t>
      </w:r>
      <w:r>
        <w:rPr>
          <w:rFonts w:ascii="Arial" w:eastAsia="Times New Roman" w:hAnsi="Arial" w:cs="Arial"/>
          <w:bCs/>
          <w:sz w:val="24"/>
          <w:szCs w:val="24"/>
        </w:rPr>
        <w:t xml:space="preserve"> quando comparados aos dados d</w:t>
      </w:r>
      <w:r>
        <w:rPr>
          <w:rFonts w:ascii="Arial" w:eastAsia="Times New Roman" w:hAnsi="Arial" w:cs="Arial"/>
          <w:bCs/>
          <w:sz w:val="24"/>
          <w:szCs w:val="24"/>
        </w:rPr>
        <w:t>e</w:t>
      </w:r>
      <w:r>
        <w:rPr>
          <w:rFonts w:ascii="Arial" w:eastAsia="Times New Roman" w:hAnsi="Arial" w:cs="Arial"/>
          <w:bCs/>
          <w:sz w:val="24"/>
          <w:szCs w:val="24"/>
        </w:rPr>
        <w:t xml:space="preserve"> </w:t>
      </w:r>
      <w:r>
        <w:rPr>
          <w:rFonts w:ascii="Arial" w:eastAsia="Times New Roman" w:hAnsi="Arial" w:cs="Arial"/>
          <w:bCs/>
          <w:sz w:val="24"/>
          <w:szCs w:val="24"/>
        </w:rPr>
        <w:t xml:space="preserve">densidade, sendo que para os valores de </w:t>
      </w:r>
      <w:r w:rsidR="00CD183E">
        <w:rPr>
          <w:rFonts w:ascii="Arial" w:eastAsia="Times New Roman" w:hAnsi="Arial" w:cs="Arial"/>
          <w:bCs/>
          <w:sz w:val="24"/>
          <w:szCs w:val="24"/>
        </w:rPr>
        <w:t>RHOB</w:t>
      </w:r>
      <w:r>
        <w:rPr>
          <w:rFonts w:ascii="Arial" w:eastAsia="Times New Roman" w:hAnsi="Arial" w:cs="Arial"/>
          <w:bCs/>
          <w:sz w:val="24"/>
          <w:szCs w:val="24"/>
        </w:rPr>
        <w:t xml:space="preserve"> não existe correlação significativa com os valores de raio gama para nenhuma das duas zonas (Figura 35). O mesmo agrupamento em 3 diferentes </w:t>
      </w:r>
      <w:r w:rsidRPr="00CD183E">
        <w:rPr>
          <w:rFonts w:ascii="Arial" w:eastAsia="Times New Roman" w:hAnsi="Arial" w:cs="Arial"/>
          <w:bCs/>
          <w:i/>
          <w:iCs/>
          <w:sz w:val="24"/>
          <w:szCs w:val="24"/>
        </w:rPr>
        <w:t>clusters</w:t>
      </w:r>
      <w:r>
        <w:rPr>
          <w:rFonts w:ascii="Arial" w:eastAsia="Times New Roman" w:hAnsi="Arial" w:cs="Arial"/>
          <w:bCs/>
          <w:sz w:val="24"/>
          <w:szCs w:val="24"/>
        </w:rPr>
        <w:t xml:space="preserve"> de pontos pode ser observado no gráfico de densidade de pontos, indicando também </w:t>
      </w:r>
      <w:r w:rsidR="00CD183E">
        <w:rPr>
          <w:rFonts w:ascii="Arial" w:eastAsia="Times New Roman" w:hAnsi="Arial" w:cs="Arial"/>
          <w:bCs/>
          <w:sz w:val="24"/>
          <w:szCs w:val="24"/>
        </w:rPr>
        <w:t xml:space="preserve">a ocorrência de porções com conteúdo argiloso para as células com altos valores das 2 propriedades. Este agrupamento em 3 diferentes </w:t>
      </w:r>
      <w:r w:rsidR="00CD183E" w:rsidRPr="00CD183E">
        <w:rPr>
          <w:rFonts w:ascii="Arial" w:eastAsia="Times New Roman" w:hAnsi="Arial" w:cs="Arial"/>
          <w:bCs/>
          <w:i/>
          <w:iCs/>
          <w:sz w:val="24"/>
          <w:szCs w:val="24"/>
        </w:rPr>
        <w:t>clusters</w:t>
      </w:r>
      <w:r w:rsidR="00CD183E">
        <w:rPr>
          <w:rFonts w:ascii="Arial" w:eastAsia="Times New Roman" w:hAnsi="Arial" w:cs="Arial"/>
          <w:bCs/>
          <w:i/>
          <w:iCs/>
          <w:sz w:val="24"/>
          <w:szCs w:val="24"/>
        </w:rPr>
        <w:t xml:space="preserve"> </w:t>
      </w:r>
      <w:r w:rsidR="00CD183E">
        <w:rPr>
          <w:rFonts w:ascii="Arial" w:eastAsia="Times New Roman" w:hAnsi="Arial" w:cs="Arial"/>
          <w:bCs/>
          <w:sz w:val="24"/>
          <w:szCs w:val="24"/>
        </w:rPr>
        <w:t>pode ser observado em todos os gráficos em que raio gama é utilizado como uma das variáveis como reflexo da função de densidade de probabilidades para os dados de GR apresentada na Figura 33.</w:t>
      </w:r>
    </w:p>
    <w:p w14:paraId="6689FE50" w14:textId="45FB6E0B" w:rsidR="00CD183E" w:rsidRDefault="00CD183E"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A dispersão dos valores de </w:t>
      </w:r>
      <w:r w:rsidR="00EF1891">
        <w:rPr>
          <w:rFonts w:ascii="Arial" w:eastAsia="Times New Roman" w:hAnsi="Arial" w:cs="Arial"/>
          <w:bCs/>
          <w:sz w:val="24"/>
          <w:szCs w:val="24"/>
        </w:rPr>
        <w:t xml:space="preserve">DT </w:t>
      </w:r>
      <w:r>
        <w:rPr>
          <w:rFonts w:ascii="Arial" w:eastAsia="Times New Roman" w:hAnsi="Arial" w:cs="Arial"/>
          <w:bCs/>
          <w:sz w:val="24"/>
          <w:szCs w:val="24"/>
        </w:rPr>
        <w:t xml:space="preserve">e </w:t>
      </w:r>
      <w:r w:rsidR="00EF1891">
        <w:rPr>
          <w:rFonts w:ascii="Arial" w:eastAsia="Times New Roman" w:hAnsi="Arial" w:cs="Arial"/>
          <w:bCs/>
          <w:sz w:val="24"/>
          <w:szCs w:val="24"/>
        </w:rPr>
        <w:t>RHOB</w:t>
      </w:r>
      <w:r>
        <w:rPr>
          <w:rFonts w:ascii="Arial" w:eastAsia="Times New Roman" w:hAnsi="Arial" w:cs="Arial"/>
          <w:bCs/>
          <w:sz w:val="24"/>
          <w:szCs w:val="24"/>
        </w:rPr>
        <w:t xml:space="preserve"> mostra mais claramente a</w:t>
      </w:r>
      <w:r w:rsidR="00EF1891">
        <w:rPr>
          <w:rFonts w:ascii="Arial" w:eastAsia="Times New Roman" w:hAnsi="Arial" w:cs="Arial"/>
          <w:bCs/>
          <w:sz w:val="24"/>
          <w:szCs w:val="24"/>
        </w:rPr>
        <w:t xml:space="preserve"> diferença entre os valores médios de DT para as zonas, com um deslocamento da zona de alta densidade para valores de alto DT na zona sul (Figura 37).</w:t>
      </w:r>
      <w:bookmarkStart w:id="57" w:name="_GoBack"/>
      <w:bookmarkEnd w:id="57"/>
      <w:r w:rsidR="00EF1891">
        <w:rPr>
          <w:rFonts w:ascii="Arial" w:eastAsia="Times New Roman" w:hAnsi="Arial" w:cs="Arial"/>
          <w:bCs/>
          <w:sz w:val="24"/>
          <w:szCs w:val="24"/>
        </w:rPr>
        <w:t xml:space="preserve"> </w:t>
      </w:r>
    </w:p>
    <w:p w14:paraId="48C65A08" w14:textId="77777777" w:rsidR="00CD183E" w:rsidRPr="0098160C" w:rsidRDefault="00CD183E" w:rsidP="00CD183E">
      <w:pPr>
        <w:spacing w:before="240" w:line="360" w:lineRule="auto"/>
        <w:jc w:val="center"/>
        <w:outlineLvl w:val="2"/>
        <w:rPr>
          <w:rFonts w:ascii="Arial" w:eastAsia="Times New Roman" w:hAnsi="Arial" w:cs="Arial"/>
          <w:bCs/>
          <w:sz w:val="24"/>
          <w:szCs w:val="24"/>
        </w:rPr>
      </w:pPr>
      <w:r>
        <w:rPr>
          <w:rFonts w:ascii="Arial" w:eastAsia="Times New Roman" w:hAnsi="Arial" w:cs="Arial"/>
          <w:bCs/>
          <w:noProof/>
          <w:sz w:val="24"/>
          <w:szCs w:val="24"/>
        </w:rPr>
        <w:drawing>
          <wp:inline distT="0" distB="0" distL="0" distR="0" wp14:anchorId="3E268379" wp14:editId="668E9E7C">
            <wp:extent cx="4400000" cy="2200000"/>
            <wp:effectExtent l="0" t="0" r="63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0">
                      <a:extLst>
                        <a:ext uri="{28A0092B-C50C-407E-A947-70E740481C1C}">
                          <a14:useLocalDpi xmlns:a14="http://schemas.microsoft.com/office/drawing/2010/main" val="0"/>
                        </a:ext>
                      </a:extLst>
                    </a:blip>
                    <a:stretch>
                      <a:fillRect/>
                    </a:stretch>
                  </pic:blipFill>
                  <pic:spPr>
                    <a:xfrm>
                      <a:off x="0" y="0"/>
                      <a:ext cx="4400000" cy="2200000"/>
                    </a:xfrm>
                    <a:prstGeom prst="rect">
                      <a:avLst/>
                    </a:prstGeom>
                  </pic:spPr>
                </pic:pic>
              </a:graphicData>
            </a:graphic>
          </wp:inline>
        </w:drawing>
      </w:r>
    </w:p>
    <w:p w14:paraId="77105629" w14:textId="0862D99C" w:rsidR="00CD183E" w:rsidRPr="00CD183E" w:rsidRDefault="00CD183E" w:rsidP="00CD183E">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34</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Gráficos de dispersão e densidade entre raio gama (GR) e perfil sônico (DT) para as zonas norte e sul do reservatório. R indica o coeficiente de correlação entre as duas propriedades.</w:t>
      </w:r>
    </w:p>
    <w:p w14:paraId="2F55DA43" w14:textId="0CDB167D" w:rsidR="0098160C" w:rsidRPr="0098160C" w:rsidRDefault="0098160C"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noProof/>
          <w:sz w:val="24"/>
          <w:szCs w:val="24"/>
        </w:rPr>
        <w:lastRenderedPageBreak/>
        <w:drawing>
          <wp:inline distT="0" distB="0" distL="0" distR="0" wp14:anchorId="095D627C" wp14:editId="7F9B69C4">
            <wp:extent cx="4400000" cy="2200000"/>
            <wp:effectExtent l="0" t="0" r="63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1">
                      <a:extLst>
                        <a:ext uri="{28A0092B-C50C-407E-A947-70E740481C1C}">
                          <a14:useLocalDpi xmlns:a14="http://schemas.microsoft.com/office/drawing/2010/main" val="0"/>
                        </a:ext>
                      </a:extLst>
                    </a:blip>
                    <a:stretch>
                      <a:fillRect/>
                    </a:stretch>
                  </pic:blipFill>
                  <pic:spPr>
                    <a:xfrm>
                      <a:off x="0" y="0"/>
                      <a:ext cx="4400000" cy="2200000"/>
                    </a:xfrm>
                    <a:prstGeom prst="rect">
                      <a:avLst/>
                    </a:prstGeom>
                  </pic:spPr>
                </pic:pic>
              </a:graphicData>
            </a:graphic>
          </wp:inline>
        </w:drawing>
      </w:r>
    </w:p>
    <w:p w14:paraId="0BA30E04" w14:textId="11C766FA" w:rsidR="0098160C" w:rsidRDefault="0098160C" w:rsidP="0098160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35</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 xml:space="preserve">Gráficos de dispersão e densidade entre raio gama (GR) e </w:t>
      </w:r>
      <w:r w:rsidR="008D0243">
        <w:rPr>
          <w:rFonts w:ascii="Arial" w:hAnsi="Arial" w:cs="Arial"/>
          <w:b/>
          <w:color w:val="auto"/>
          <w:sz w:val="20"/>
        </w:rPr>
        <w:t>densidade (RHOB)</w:t>
      </w:r>
      <w:r>
        <w:rPr>
          <w:rFonts w:ascii="Arial" w:hAnsi="Arial" w:cs="Arial"/>
          <w:b/>
          <w:color w:val="auto"/>
          <w:sz w:val="20"/>
        </w:rPr>
        <w:t xml:space="preserve"> para as zonas norte e sul do reservatório.</w:t>
      </w:r>
      <w:r w:rsidR="00EF556D">
        <w:rPr>
          <w:rFonts w:ascii="Arial" w:hAnsi="Arial" w:cs="Arial"/>
          <w:b/>
          <w:color w:val="auto"/>
          <w:sz w:val="20"/>
        </w:rPr>
        <w:t xml:space="preserve"> </w:t>
      </w:r>
      <w:r w:rsidR="00EF556D">
        <w:rPr>
          <w:rFonts w:ascii="Arial" w:hAnsi="Arial" w:cs="Arial"/>
          <w:b/>
          <w:color w:val="auto"/>
          <w:sz w:val="20"/>
        </w:rPr>
        <w:t>R indica o coeficiente de correlação entre as duas propriedades.</w:t>
      </w:r>
    </w:p>
    <w:p w14:paraId="341A10E7" w14:textId="77777777" w:rsidR="00C143EA" w:rsidRPr="0098160C" w:rsidRDefault="00C143EA" w:rsidP="00CD183E">
      <w:pPr>
        <w:spacing w:before="240" w:line="360" w:lineRule="auto"/>
        <w:jc w:val="center"/>
        <w:outlineLvl w:val="2"/>
        <w:rPr>
          <w:rFonts w:ascii="Arial" w:eastAsia="Times New Roman" w:hAnsi="Arial" w:cs="Arial"/>
          <w:bCs/>
          <w:sz w:val="24"/>
          <w:szCs w:val="24"/>
        </w:rPr>
      </w:pPr>
      <w:r>
        <w:rPr>
          <w:rFonts w:ascii="Arial" w:eastAsia="Times New Roman" w:hAnsi="Arial" w:cs="Arial"/>
          <w:bCs/>
          <w:noProof/>
          <w:sz w:val="24"/>
          <w:szCs w:val="24"/>
        </w:rPr>
        <w:drawing>
          <wp:inline distT="0" distB="0" distL="0" distR="0" wp14:anchorId="1D52EF69" wp14:editId="11B74A6A">
            <wp:extent cx="4400000" cy="2200000"/>
            <wp:effectExtent l="0" t="0" r="63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2">
                      <a:extLst>
                        <a:ext uri="{28A0092B-C50C-407E-A947-70E740481C1C}">
                          <a14:useLocalDpi xmlns:a14="http://schemas.microsoft.com/office/drawing/2010/main" val="0"/>
                        </a:ext>
                      </a:extLst>
                    </a:blip>
                    <a:stretch>
                      <a:fillRect/>
                    </a:stretch>
                  </pic:blipFill>
                  <pic:spPr>
                    <a:xfrm>
                      <a:off x="0" y="0"/>
                      <a:ext cx="4400000" cy="2200000"/>
                    </a:xfrm>
                    <a:prstGeom prst="rect">
                      <a:avLst/>
                    </a:prstGeom>
                  </pic:spPr>
                </pic:pic>
              </a:graphicData>
            </a:graphic>
          </wp:inline>
        </w:drawing>
      </w:r>
    </w:p>
    <w:p w14:paraId="6707479B" w14:textId="0F7729E3" w:rsidR="00C143EA" w:rsidRPr="00ED2558" w:rsidRDefault="00C143EA" w:rsidP="00C143EA">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36</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Gráficos de dispersão e densidade entre perfil sônico (DT) e densidade (RHOB) para as zonas norte e sul do reservatório. R indica o coeficiente de correlação entre as duas propriedades.</w:t>
      </w:r>
    </w:p>
    <w:p w14:paraId="29C63633" w14:textId="77777777" w:rsidR="00C143EA" w:rsidRPr="00C143EA" w:rsidRDefault="00C143EA" w:rsidP="00C143EA"/>
    <w:p w14:paraId="021C7467" w14:textId="77777777" w:rsidR="0098160C" w:rsidRPr="0098160C" w:rsidRDefault="0098160C" w:rsidP="00CD183E">
      <w:pPr>
        <w:spacing w:before="240" w:line="360" w:lineRule="auto"/>
        <w:jc w:val="center"/>
        <w:outlineLvl w:val="2"/>
        <w:rPr>
          <w:rFonts w:ascii="Arial" w:eastAsia="Times New Roman" w:hAnsi="Arial" w:cs="Arial"/>
          <w:bCs/>
          <w:sz w:val="24"/>
          <w:szCs w:val="24"/>
        </w:rPr>
      </w:pPr>
      <w:r>
        <w:rPr>
          <w:rFonts w:ascii="Arial" w:eastAsia="Times New Roman" w:hAnsi="Arial" w:cs="Arial"/>
          <w:bCs/>
          <w:noProof/>
          <w:sz w:val="24"/>
          <w:szCs w:val="24"/>
        </w:rPr>
        <w:drawing>
          <wp:inline distT="0" distB="0" distL="0" distR="0" wp14:anchorId="555AC8CA" wp14:editId="7EB4E496">
            <wp:extent cx="4400000" cy="220000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3">
                      <a:extLst>
                        <a:ext uri="{28A0092B-C50C-407E-A947-70E740481C1C}">
                          <a14:useLocalDpi xmlns:a14="http://schemas.microsoft.com/office/drawing/2010/main" val="0"/>
                        </a:ext>
                      </a:extLst>
                    </a:blip>
                    <a:stretch>
                      <a:fillRect/>
                    </a:stretch>
                  </pic:blipFill>
                  <pic:spPr>
                    <a:xfrm>
                      <a:off x="0" y="0"/>
                      <a:ext cx="4400000" cy="2200000"/>
                    </a:xfrm>
                    <a:prstGeom prst="rect">
                      <a:avLst/>
                    </a:prstGeom>
                  </pic:spPr>
                </pic:pic>
              </a:graphicData>
            </a:graphic>
          </wp:inline>
        </w:drawing>
      </w:r>
    </w:p>
    <w:p w14:paraId="18AA3909" w14:textId="02862D66" w:rsidR="0098160C" w:rsidRPr="00ED2558" w:rsidRDefault="0098160C" w:rsidP="0098160C">
      <w:pPr>
        <w:pStyle w:val="Legenda"/>
        <w:jc w:val="center"/>
        <w:rPr>
          <w:rFonts w:ascii="Arial" w:hAnsi="Arial" w:cs="Arial"/>
          <w:b/>
          <w:color w:val="auto"/>
          <w:sz w:val="20"/>
        </w:rPr>
      </w:pPr>
      <w:r w:rsidRPr="00ED2558">
        <w:rPr>
          <w:rFonts w:ascii="Arial" w:hAnsi="Arial" w:cs="Arial"/>
          <w:b/>
          <w:color w:val="auto"/>
          <w:sz w:val="20"/>
        </w:rPr>
        <w:lastRenderedPageBreak/>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143EA">
        <w:rPr>
          <w:rFonts w:ascii="Arial" w:hAnsi="Arial" w:cs="Arial"/>
          <w:b/>
          <w:noProof/>
          <w:color w:val="auto"/>
          <w:sz w:val="20"/>
        </w:rPr>
        <w:t>37</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 xml:space="preserve">Gráficos de dispersão e densidade entre raio gama (GR) e </w:t>
      </w:r>
      <w:r w:rsidR="008D0243">
        <w:rPr>
          <w:rFonts w:ascii="Arial" w:hAnsi="Arial" w:cs="Arial"/>
          <w:b/>
          <w:color w:val="auto"/>
          <w:sz w:val="20"/>
        </w:rPr>
        <w:t>porosidade efetiva</w:t>
      </w:r>
      <w:r>
        <w:rPr>
          <w:rFonts w:ascii="Arial" w:hAnsi="Arial" w:cs="Arial"/>
          <w:b/>
          <w:color w:val="auto"/>
          <w:sz w:val="20"/>
        </w:rPr>
        <w:t xml:space="preserve"> </w:t>
      </w:r>
      <w:r w:rsidR="008D0243">
        <w:rPr>
          <w:rFonts w:ascii="Arial" w:hAnsi="Arial" w:cs="Arial"/>
          <w:b/>
          <w:color w:val="auto"/>
          <w:sz w:val="20"/>
        </w:rPr>
        <w:t>(PHIE</w:t>
      </w:r>
      <w:r>
        <w:rPr>
          <w:rFonts w:ascii="Arial" w:hAnsi="Arial" w:cs="Arial"/>
          <w:b/>
          <w:color w:val="auto"/>
          <w:sz w:val="20"/>
        </w:rPr>
        <w:t>) para as zonas norte e sul do reservatório.</w:t>
      </w:r>
      <w:r w:rsidR="00EF556D">
        <w:rPr>
          <w:rFonts w:ascii="Arial" w:hAnsi="Arial" w:cs="Arial"/>
          <w:b/>
          <w:color w:val="auto"/>
          <w:sz w:val="20"/>
        </w:rPr>
        <w:t xml:space="preserve"> </w:t>
      </w:r>
      <w:r w:rsidR="00EF556D">
        <w:rPr>
          <w:rFonts w:ascii="Arial" w:hAnsi="Arial" w:cs="Arial"/>
          <w:b/>
          <w:color w:val="auto"/>
          <w:sz w:val="20"/>
        </w:rPr>
        <w:t>R indica o coeficiente de correlação entre as duas propriedades.</w:t>
      </w:r>
    </w:p>
    <w:p w14:paraId="1F96FA29" w14:textId="77777777" w:rsidR="0098160C" w:rsidRPr="0098160C" w:rsidRDefault="0098160C" w:rsidP="00CD183E">
      <w:pPr>
        <w:spacing w:before="240" w:line="360" w:lineRule="auto"/>
        <w:jc w:val="center"/>
        <w:outlineLvl w:val="2"/>
        <w:rPr>
          <w:rFonts w:ascii="Arial" w:eastAsia="Times New Roman" w:hAnsi="Arial" w:cs="Arial"/>
          <w:bCs/>
          <w:sz w:val="24"/>
          <w:szCs w:val="24"/>
        </w:rPr>
      </w:pPr>
      <w:r>
        <w:rPr>
          <w:rFonts w:ascii="Arial" w:eastAsia="Times New Roman" w:hAnsi="Arial" w:cs="Arial"/>
          <w:bCs/>
          <w:noProof/>
          <w:sz w:val="24"/>
          <w:szCs w:val="24"/>
        </w:rPr>
        <w:drawing>
          <wp:inline distT="0" distB="0" distL="0" distR="0" wp14:anchorId="09FCCF36" wp14:editId="4D4DAA5E">
            <wp:extent cx="4400000" cy="2200000"/>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4">
                      <a:extLst>
                        <a:ext uri="{28A0092B-C50C-407E-A947-70E740481C1C}">
                          <a14:useLocalDpi xmlns:a14="http://schemas.microsoft.com/office/drawing/2010/main" val="0"/>
                        </a:ext>
                      </a:extLst>
                    </a:blip>
                    <a:stretch>
                      <a:fillRect/>
                    </a:stretch>
                  </pic:blipFill>
                  <pic:spPr>
                    <a:xfrm>
                      <a:off x="0" y="0"/>
                      <a:ext cx="4400000" cy="2200000"/>
                    </a:xfrm>
                    <a:prstGeom prst="rect">
                      <a:avLst/>
                    </a:prstGeom>
                  </pic:spPr>
                </pic:pic>
              </a:graphicData>
            </a:graphic>
          </wp:inline>
        </w:drawing>
      </w:r>
    </w:p>
    <w:p w14:paraId="7E07BD79" w14:textId="622B1E28" w:rsidR="0098160C" w:rsidRPr="00ED2558" w:rsidRDefault="0098160C" w:rsidP="0098160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38</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Gráficos de dispersão e densidade entre perfil sônico (DT)</w:t>
      </w:r>
      <w:r w:rsidR="008D0243">
        <w:rPr>
          <w:rFonts w:ascii="Arial" w:hAnsi="Arial" w:cs="Arial"/>
          <w:b/>
          <w:color w:val="auto"/>
          <w:sz w:val="20"/>
        </w:rPr>
        <w:t xml:space="preserve"> e porosidade efetiva (PHIE)</w:t>
      </w:r>
      <w:r>
        <w:rPr>
          <w:rFonts w:ascii="Arial" w:hAnsi="Arial" w:cs="Arial"/>
          <w:b/>
          <w:color w:val="auto"/>
          <w:sz w:val="20"/>
        </w:rPr>
        <w:t xml:space="preserve"> para as zonas norte e sul do reservatório.</w:t>
      </w:r>
      <w:r w:rsidR="00EF556D">
        <w:rPr>
          <w:rFonts w:ascii="Arial" w:hAnsi="Arial" w:cs="Arial"/>
          <w:b/>
          <w:color w:val="auto"/>
          <w:sz w:val="20"/>
        </w:rPr>
        <w:t xml:space="preserve"> </w:t>
      </w:r>
      <w:r w:rsidR="00EF556D">
        <w:rPr>
          <w:rFonts w:ascii="Arial" w:hAnsi="Arial" w:cs="Arial"/>
          <w:b/>
          <w:color w:val="auto"/>
          <w:sz w:val="20"/>
        </w:rPr>
        <w:t>R indica o coeficiente de correlação entre as duas propriedades.</w:t>
      </w:r>
    </w:p>
    <w:p w14:paraId="01FA4C95" w14:textId="77777777" w:rsidR="0098160C" w:rsidRPr="0098160C" w:rsidRDefault="0098160C" w:rsidP="00CD183E">
      <w:pPr>
        <w:spacing w:before="240" w:line="360" w:lineRule="auto"/>
        <w:jc w:val="center"/>
        <w:outlineLvl w:val="2"/>
        <w:rPr>
          <w:rFonts w:ascii="Arial" w:eastAsia="Times New Roman" w:hAnsi="Arial" w:cs="Arial"/>
          <w:bCs/>
          <w:sz w:val="24"/>
          <w:szCs w:val="24"/>
        </w:rPr>
      </w:pPr>
      <w:r>
        <w:rPr>
          <w:rFonts w:ascii="Arial" w:eastAsia="Times New Roman" w:hAnsi="Arial" w:cs="Arial"/>
          <w:bCs/>
          <w:noProof/>
          <w:sz w:val="24"/>
          <w:szCs w:val="24"/>
        </w:rPr>
        <w:drawing>
          <wp:inline distT="0" distB="0" distL="0" distR="0" wp14:anchorId="37DF2815" wp14:editId="58A96DE7">
            <wp:extent cx="4400000" cy="2200000"/>
            <wp:effectExtent l="0" t="0" r="63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5">
                      <a:extLst>
                        <a:ext uri="{28A0092B-C50C-407E-A947-70E740481C1C}">
                          <a14:useLocalDpi xmlns:a14="http://schemas.microsoft.com/office/drawing/2010/main" val="0"/>
                        </a:ext>
                      </a:extLst>
                    </a:blip>
                    <a:stretch>
                      <a:fillRect/>
                    </a:stretch>
                  </pic:blipFill>
                  <pic:spPr>
                    <a:xfrm>
                      <a:off x="0" y="0"/>
                      <a:ext cx="4400000" cy="2200000"/>
                    </a:xfrm>
                    <a:prstGeom prst="rect">
                      <a:avLst/>
                    </a:prstGeom>
                  </pic:spPr>
                </pic:pic>
              </a:graphicData>
            </a:graphic>
          </wp:inline>
        </w:drawing>
      </w:r>
    </w:p>
    <w:p w14:paraId="7A58B330" w14:textId="0B42CED0" w:rsidR="0098160C" w:rsidRPr="00ED2558" w:rsidRDefault="0098160C" w:rsidP="0098160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39</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 xml:space="preserve">Gráficos de dispersão e densidade entre </w:t>
      </w:r>
      <w:r w:rsidR="008D0243">
        <w:rPr>
          <w:rFonts w:ascii="Arial" w:hAnsi="Arial" w:cs="Arial"/>
          <w:b/>
          <w:color w:val="auto"/>
          <w:sz w:val="20"/>
        </w:rPr>
        <w:t>densidade</w:t>
      </w:r>
      <w:r>
        <w:rPr>
          <w:rFonts w:ascii="Arial" w:hAnsi="Arial" w:cs="Arial"/>
          <w:b/>
          <w:color w:val="auto"/>
          <w:sz w:val="20"/>
        </w:rPr>
        <w:t xml:space="preserve"> (</w:t>
      </w:r>
      <w:r w:rsidR="008D0243">
        <w:rPr>
          <w:rFonts w:ascii="Arial" w:hAnsi="Arial" w:cs="Arial"/>
          <w:b/>
          <w:color w:val="auto"/>
          <w:sz w:val="20"/>
        </w:rPr>
        <w:t>RHOB</w:t>
      </w:r>
      <w:r>
        <w:rPr>
          <w:rFonts w:ascii="Arial" w:hAnsi="Arial" w:cs="Arial"/>
          <w:b/>
          <w:color w:val="auto"/>
          <w:sz w:val="20"/>
        </w:rPr>
        <w:t xml:space="preserve">) e </w:t>
      </w:r>
      <w:r w:rsidR="008D0243">
        <w:rPr>
          <w:rFonts w:ascii="Arial" w:hAnsi="Arial" w:cs="Arial"/>
          <w:b/>
          <w:color w:val="auto"/>
          <w:sz w:val="20"/>
        </w:rPr>
        <w:t>porosidade efetiva</w:t>
      </w:r>
      <w:r>
        <w:rPr>
          <w:rFonts w:ascii="Arial" w:hAnsi="Arial" w:cs="Arial"/>
          <w:b/>
          <w:color w:val="auto"/>
          <w:sz w:val="20"/>
        </w:rPr>
        <w:t xml:space="preserve"> </w:t>
      </w:r>
      <w:r w:rsidR="008D0243">
        <w:rPr>
          <w:rFonts w:ascii="Arial" w:hAnsi="Arial" w:cs="Arial"/>
          <w:b/>
          <w:color w:val="auto"/>
          <w:sz w:val="20"/>
        </w:rPr>
        <w:t>(PHIE</w:t>
      </w:r>
      <w:r>
        <w:rPr>
          <w:rFonts w:ascii="Arial" w:hAnsi="Arial" w:cs="Arial"/>
          <w:b/>
          <w:color w:val="auto"/>
          <w:sz w:val="20"/>
        </w:rPr>
        <w:t>) para as zonas norte e sul do reservatório.</w:t>
      </w:r>
      <w:r w:rsidR="00EF556D">
        <w:rPr>
          <w:rFonts w:ascii="Arial" w:hAnsi="Arial" w:cs="Arial"/>
          <w:b/>
          <w:color w:val="auto"/>
          <w:sz w:val="20"/>
        </w:rPr>
        <w:t xml:space="preserve"> </w:t>
      </w:r>
      <w:r w:rsidR="00EF556D">
        <w:rPr>
          <w:rFonts w:ascii="Arial" w:hAnsi="Arial" w:cs="Arial"/>
          <w:b/>
          <w:color w:val="auto"/>
          <w:sz w:val="20"/>
        </w:rPr>
        <w:t>R indica o coeficiente de correlação entre as duas propriedades.</w:t>
      </w:r>
    </w:p>
    <w:p w14:paraId="5226A35C" w14:textId="77777777" w:rsidR="0098160C" w:rsidRPr="0098160C" w:rsidRDefault="0098160C" w:rsidP="0098160C"/>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tab/>
      </w:r>
      <w:bookmarkStart w:id="58"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8"/>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lastRenderedPageBreak/>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6">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59" w:name="_Toc32229553"/>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59"/>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K-Means para valores de K entre 2 e 15 classes, são obtidos os respectivos índices de silhueta e Davies-Bouldin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Davies-Bouldin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7">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60"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Davies-Bouldin computados para diferentes valores de K no algoritmo K-Means. O valor máximo para índice de silhueta e mínimo para Davies-Bouldin no valor de 3 classes indica provável separação dos dados em 3 diferente classes.</w:t>
      </w:r>
      <w:bookmarkEnd w:id="60"/>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novamente o algoritmo de K-Means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8">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61" w:name="_Toc32229555"/>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61"/>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 xml:space="preserve">Atribuindo a cada célula do grid do modelo as classes e probabilidades geradas pelos algoritmos de K-Means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2ABC224D"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w:t>
      </w:r>
      <w:r w:rsidR="00612500">
        <w:rPr>
          <w:rFonts w:ascii="Arial" w:hAnsi="Arial" w:cs="Arial"/>
          <w:sz w:val="24"/>
          <w:szCs w:val="24"/>
        </w:rPr>
        <w:t>8</w:t>
      </w:r>
      <w:r>
        <w:rPr>
          <w:rFonts w:ascii="Arial" w:hAnsi="Arial" w:cs="Arial"/>
          <w:sz w:val="24"/>
          <w:szCs w:val="24"/>
        </w:rPr>
        <w:t xml:space="preserve">), enquanto o K-Means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w:t>
      </w:r>
      <w:r w:rsidR="00612500">
        <w:rPr>
          <w:rFonts w:ascii="Arial" w:hAnsi="Arial" w:cs="Arial"/>
          <w:sz w:val="24"/>
          <w:szCs w:val="24"/>
        </w:rPr>
        <w:t>9</w:t>
      </w:r>
      <w:r w:rsidR="00D9665D">
        <w:rPr>
          <w:rFonts w:ascii="Arial" w:hAnsi="Arial" w:cs="Arial"/>
          <w:sz w:val="24"/>
          <w:szCs w:val="24"/>
        </w:rPr>
        <w:t xml:space="preserve">),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K-Means. Considerando os valores similares de porosidade e saturação de água observados para as classes intermediária e </w:t>
      </w:r>
      <w:r w:rsidR="002B1CA9">
        <w:rPr>
          <w:rFonts w:ascii="Arial" w:hAnsi="Arial" w:cs="Arial"/>
          <w:sz w:val="24"/>
          <w:szCs w:val="24"/>
        </w:rPr>
        <w:t>descarte nos dois modelos, é provável que o K-Means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K-Means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1B42CE9A" w:rsidR="000F7271" w:rsidRPr="00D63BD5" w:rsidRDefault="000F7271" w:rsidP="000F7271">
      <w:pPr>
        <w:pStyle w:val="Legenda"/>
        <w:keepNext/>
        <w:rPr>
          <w:rFonts w:ascii="Arial" w:hAnsi="Arial" w:cs="Arial"/>
          <w:b/>
          <w:bCs/>
          <w:color w:val="000000" w:themeColor="text1"/>
          <w:sz w:val="20"/>
          <w:szCs w:val="20"/>
        </w:rPr>
      </w:pPr>
      <w:bookmarkStart w:id="62" w:name="_Toc32229566"/>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8</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62"/>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9">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7E7B3420" w:rsidR="00D63BD5" w:rsidRPr="00D63BD5" w:rsidRDefault="00D63BD5" w:rsidP="00D63BD5">
      <w:pPr>
        <w:pStyle w:val="Legenda"/>
        <w:keepNext/>
        <w:rPr>
          <w:rFonts w:ascii="Arial" w:hAnsi="Arial" w:cs="Arial"/>
          <w:b/>
          <w:bCs/>
          <w:color w:val="000000" w:themeColor="text1"/>
          <w:sz w:val="20"/>
          <w:szCs w:val="20"/>
        </w:rPr>
      </w:pPr>
      <w:bookmarkStart w:id="63" w:name="_Toc32229567"/>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9</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K-Means.</w:t>
      </w:r>
      <w:bookmarkEnd w:id="63"/>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60">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K-Means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K-Means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61">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64" w:name="_Toc32229556"/>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K-Means e GMM e propriedades de porosidade efetive e saturação de água para profundidade de 2392m. Linha laranja indica as seções transversais da Figura 39.</w:t>
      </w:r>
      <w:bookmarkEnd w:id="64"/>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62">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65" w:name="_Toc32229557"/>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K-Means e GMM. Seções correspondem as linhas indicadas nos mapas da Figura 38.</w:t>
      </w:r>
      <w:bookmarkEnd w:id="65"/>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63">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66" w:name="_Toc32229558"/>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66"/>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67" w:name="_Toc12834451"/>
      <w:r>
        <w:rPr>
          <w:rFonts w:ascii="Arial" w:hAnsi="Arial" w:cs="Arial"/>
          <w:b/>
          <w:sz w:val="24"/>
          <w:szCs w:val="24"/>
        </w:rPr>
        <w:t>Cálculos de Volume</w:t>
      </w:r>
      <w:bookmarkEnd w:id="67"/>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K-Means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O caso 0, ou controle trata-se do valor de volume atribuindo a cada célula o valor de N/G do ponto mais próximo nas classificações de net pay para poços do Campo B realizadas por Melani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7940C22E" w:rsidR="00FD4D18" w:rsidRPr="00FD4D18" w:rsidRDefault="00FD4D18" w:rsidP="00FD4D18">
      <w:pPr>
        <w:pStyle w:val="Legenda"/>
        <w:keepNext/>
        <w:jc w:val="center"/>
        <w:rPr>
          <w:rFonts w:ascii="Arial" w:hAnsi="Arial" w:cs="Arial"/>
          <w:b/>
          <w:bCs/>
          <w:color w:val="000000" w:themeColor="text1"/>
          <w:sz w:val="20"/>
          <w:szCs w:val="20"/>
        </w:rPr>
      </w:pPr>
      <w:bookmarkStart w:id="68"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K-Means e GMM. Os valores percentuais indicam a relação entre o volume referido e o obtido para a mesma classe do K-Means.</w:t>
      </w:r>
      <w:r w:rsidR="00C3373D">
        <w:rPr>
          <w:rFonts w:ascii="Arial" w:hAnsi="Arial" w:cs="Arial"/>
          <w:b/>
          <w:bCs/>
          <w:color w:val="000000" w:themeColor="text1"/>
          <w:sz w:val="20"/>
          <w:szCs w:val="20"/>
        </w:rPr>
        <w:t xml:space="preserve"> Vb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Vp (Pore Volume) o volume poroso enquanto HCPV (Hydrocarbon Pore Volume) é o volume de hidrocarbonetos.</w:t>
      </w:r>
      <w:bookmarkEnd w:id="68"/>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64">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26ACD16B" w:rsidR="00FD4D18" w:rsidRPr="00FD4D18" w:rsidRDefault="00FD4D18" w:rsidP="00FD4D18">
      <w:pPr>
        <w:pStyle w:val="Legenda"/>
        <w:keepNext/>
        <w:jc w:val="center"/>
        <w:rPr>
          <w:rFonts w:ascii="Arial" w:hAnsi="Arial" w:cs="Arial"/>
          <w:b/>
          <w:bCs/>
          <w:color w:val="000000" w:themeColor="text1"/>
          <w:sz w:val="20"/>
          <w:szCs w:val="20"/>
        </w:rPr>
      </w:pPr>
      <w:bookmarkStart w:id="69"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11</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Prop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bookmarkEnd w:id="69"/>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65">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77D9C300" w:rsidR="00C3373D" w:rsidRPr="00066544" w:rsidRDefault="00C3373D" w:rsidP="00066544">
      <w:pPr>
        <w:pStyle w:val="Legenda"/>
        <w:keepNext/>
        <w:jc w:val="center"/>
        <w:rPr>
          <w:rFonts w:ascii="Arial" w:hAnsi="Arial" w:cs="Arial"/>
          <w:b/>
          <w:bCs/>
          <w:color w:val="000000" w:themeColor="text1"/>
          <w:sz w:val="20"/>
          <w:szCs w:val="20"/>
        </w:rPr>
      </w:pPr>
      <w:bookmarkStart w:id="70"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12</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Vb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Vp (Pore Volume) o volume poroso enquanto HCPV (Hydrocarbon Pore Volume) é o volume de hidrocarbonetos e tHCPV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(Vb) diferentes pois não incluem as células da Classe 0.</w:t>
      </w:r>
      <w:bookmarkEnd w:id="70"/>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6">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 xml:space="preserve">Seguindo o comportamento observado em 4.3., o K-Means estima maiores volumes na Classe 1 (alvo), ao mesmo tempo que estima menores volumes na Classe 0 (descarte). Da mesma forma, o Caso 7, calculado com base no K-Means, mostra maiores valores de Vp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Melani et al. (2015).</w:t>
      </w:r>
    </w:p>
    <w:p w14:paraId="31F872CB" w14:textId="39C44BF2"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deporosidade efetiva no reservatório e o Caso 3 faz o mesmo para o valor médio de saturação de </w:t>
      </w:r>
      <w:r w:rsidR="00F1260D">
        <w:rPr>
          <w:rFonts w:ascii="Arial" w:hAnsi="Arial" w:cs="Arial"/>
          <w:sz w:val="24"/>
          <w:szCs w:val="24"/>
        </w:rPr>
        <w:lastRenderedPageBreak/>
        <w:t xml:space="preserve">água. Observa-se assim que a utilização do valor médio de porosidade no Caso 2 resulta num aumento pouco significativo do volume poroso (Vp)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K-Means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1" w:name="_Toc12834452"/>
      <w:bookmarkStart w:id="72" w:name="_Hlk12832429"/>
      <w:r>
        <w:rPr>
          <w:rFonts w:ascii="Arial" w:eastAsia="Times New Roman" w:hAnsi="Arial" w:cs="Arial"/>
          <w:b/>
          <w:sz w:val="28"/>
          <w:szCs w:val="28"/>
        </w:rPr>
        <w:lastRenderedPageBreak/>
        <w:t>CONCLUSÕES</w:t>
      </w:r>
      <w:bookmarkEnd w:id="71"/>
    </w:p>
    <w:bookmarkEnd w:id="72"/>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A combinação dos algoritmos de Krigagem com Deriva Externa (KDE) e Gaussian Randon Function Simulation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Quanto ao upscaling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K-Means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K-Means, no entanto, é a possibilidade de realizar classificações não discretas atribuindo à cada célula um valor de probabilidade. Neste estudo, porém, esta capacidade adicional do GMM não mostrou-se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 xml:space="preserve">Nota-se, no entanto, que não necessariamente o comportamento observado pelos classificadores será sempre observado. Embora a técnica de Mapas Auto-Organizáveis (Self-Organizing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3" w:name="_Toc12834453"/>
      <w:r>
        <w:rPr>
          <w:rFonts w:ascii="Arial" w:eastAsia="Times New Roman" w:hAnsi="Arial" w:cs="Arial"/>
          <w:b/>
          <w:sz w:val="28"/>
          <w:szCs w:val="28"/>
        </w:rPr>
        <w:t>REFERÊNCIAS BIBLIOGRÁFICAS</w:t>
      </w:r>
      <w:bookmarkEnd w:id="73"/>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Anderson, P., and R. Newrick,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Aragao,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Bahorich,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Basir, H. M., Javaherian, A., &amp; Yaraki,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Benabbou, A., Daly, C., Macé, L., Levannier, A., &amp; Buchholz, C. 2015. An unstructured depositional grid for property modeling. In: Petroleum Geostatistics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Bjorlykke,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Bruno, P. P. G., Cippitelli, G., &amp; Rapolla, A. 1998. Seismic study of the Mesozoic carbonate basement around Mt. Somma–Vesuvius,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Park, K., &amp; Scheidt, C. 2010. Modeling Uncertainty of Complex Earth Systems in Metric Space. Handbook Of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Marfurt,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Chahine, C., Truelove, L., &amp; Volcan, M. H. 2014. Enhanced delineation of reservoir compartmentalization from advanced preand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Chen, L., Xiao, C., Li, X., Wang, Z., &amp; Huo,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Maschio, C., &amp; Schiozer, D. J. 2018. </w:t>
      </w:r>
      <w:r w:rsidRPr="006D5136">
        <w:rPr>
          <w:rFonts w:ascii="Arial" w:eastAsia="Times New Roman" w:hAnsi="Arial" w:cs="Arial"/>
          <w:bCs/>
          <w:lang w:val="en-US"/>
        </w:rPr>
        <w:t>A new methodology to reduce uncertainty of global attributes in naturally fractured reservoirs. Oil &amp; Gas Science and Technology–Revue d’IFP Energies nouvelles,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Daly, C., &amp; Caers, J. 2010. Multi-point geostatistics–an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Deutsch, C. V. &amp; Journel,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r w:rsidRPr="00540F04">
        <w:rPr>
          <w:rFonts w:ascii="Arial" w:eastAsia="Times New Roman" w:hAnsi="Arial" w:cs="Arial"/>
          <w:bCs/>
        </w:rPr>
        <w:t>Computers &amp; Geosciences.</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Scarton, J.C.; Esteves, F.R.; Carminatti, M.; Guardado, L.R. 1990. Aspectos da Evolução Tectono-Sedimentar e a Ocorrência de Hidrocarbonetos na Bacia de Campos. In: Origem e Evolução de Bacias Sedimentares, Raja Gabaglia, G.P. and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Egbele, E., Ezuka, I., &amp; Onyekonwu,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Elias V.L.G.; Steagall, D.E. 1996. The Impact of the Values of Cementation Factor and Saturation Exponent in the Calculation of Water Saturation for Macae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4D7197" w:rsidRDefault="00540F04" w:rsidP="00540F04">
      <w:pPr>
        <w:pStyle w:val="PargrafodaLista"/>
        <w:spacing w:before="240" w:line="360" w:lineRule="auto"/>
        <w:ind w:left="390"/>
        <w:rPr>
          <w:rFonts w:ascii="Arial" w:eastAsia="Times New Roman" w:hAnsi="Arial" w:cs="Arial"/>
          <w:bCs/>
        </w:rPr>
      </w:pPr>
      <w:r w:rsidRPr="00322AB7">
        <w:rPr>
          <w:rFonts w:ascii="Arial" w:eastAsia="Times New Roman" w:hAnsi="Arial" w:cs="Arial"/>
          <w:bCs/>
          <w:lang w:val="en-US"/>
        </w:rPr>
        <w:t xml:space="preserve">ESRI. 2019. How Kriging Works. </w:t>
      </w:r>
      <w:r w:rsidRPr="004D7197">
        <w:rPr>
          <w:rFonts w:ascii="Arial" w:eastAsia="Times New Roman" w:hAnsi="Arial" w:cs="Arial"/>
          <w:bCs/>
        </w:rPr>
        <w:t>Disponível em: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arcmap/10.3/tools/3d-analyst-toolbox/how-kriging-works.htm. Acesso em: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Fourno, A., Noetinger, B., &amp; Schiozer,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Fang, J., Zhou, F., &amp; Tang, Z. 2017. </w:t>
      </w:r>
      <w:r w:rsidRPr="00540F04">
        <w:rPr>
          <w:rFonts w:ascii="Arial" w:eastAsia="Times New Roman" w:hAnsi="Arial" w:cs="Arial"/>
          <w:bCs/>
          <w:lang w:val="en-US"/>
        </w:rPr>
        <w:t>Discrete fracture network modelling in a naturally fractured carbonate reservoir in the Jingbei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Dornhaus,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Mohriak,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Santogrossi,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r w:rsidRPr="00540F04">
        <w:rPr>
          <w:rFonts w:ascii="Arial" w:eastAsia="Times New Roman" w:hAnsi="Arial" w:cs="Arial"/>
          <w:bCs/>
        </w:rPr>
        <w:t>Well-tie workflow. Agile.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Hansen, T. M., Journel, A. G., Tarantola, A., &amp; Mosegaard, K. 2006. Linear inverse Gaussian theory and geostatistics.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Hengl, T., Heuvelink,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Hengl,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rPr>
        <w:t>Hengl</w:t>
      </w:r>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Fomel,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Krief, M., Garati, J., Stellingwerff, J. &amp; Ventre,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Kuroda, M. C., Vidal, A. C., Leite, E. P., &amp; Drummond, R. D. 2012. Electrofacies characterization using self-organizing maps. Revista Brasileira de Geofísica.</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r w:rsidRPr="00C94D5B">
        <w:rPr>
          <w:rFonts w:ascii="Arial" w:eastAsia="Times New Roman" w:hAnsi="Arial" w:cs="Arial"/>
          <w:bCs/>
          <w:lang w:val="en-US"/>
        </w:rPr>
        <w:t>Demyanov</w:t>
      </w:r>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4D7197">
        <w:rPr>
          <w:rFonts w:ascii="Arial" w:eastAsia="Times New Roman" w:hAnsi="Arial" w:cs="Arial"/>
          <w:bCs/>
        </w:rPr>
        <w:t xml:space="preserve">Leite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Rev. Brasileira de Geofísica.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Lyons, W. C., &amp; Plisga,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Melani, L., Vidal, A. C., Filho, I. M., &amp; Schuab,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Nelson, R.A. 2001. Geologic Analysis of Naturally Fractured Reservoirs. 2 nd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Newrick,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Pedersen, S. I., Skov, T., Randen, T., &amp; Sønneland,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Pedregosa, F., Varoquaux, G., Gramfort, A., Michel, V., Thirion, B., Grisel, O., Blondel, M., Prettenhofer, P., Weiss, R., Dubourg, V. and Vanderplas, J., 2011. Scikit-learn: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Pyrcz, M. J., &amp; Deutsch,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r w:rsidRPr="00540F04">
        <w:rPr>
          <w:rFonts w:ascii="Arial" w:eastAsia="Times New Roman" w:hAnsi="Arial" w:cs="Arial"/>
          <w:bCs/>
        </w:rPr>
        <w:t>Trelgol Publishing.</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Oliveira, M.L. 1997. Análise de Incertezas Envolvidas na Modelagem de Reservatório no Contexto Geoestatístico.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Randen, T., Monsen, E., Signer, C., Abrahamsen, A., Hansen, J. O., Sæter, T., &amp; Schlaf,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Randen, T., Pedersen, S. I., &amp; Sonneland, L. 2001. Automatic extraction of fault surfaces from three-dimensional seismic data. In Annual International Meeting, Society of Exploration Geophycists</w:t>
      </w:r>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Raykov, Y.P., Boukouvalas, A., Baig,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Rijks, E. J. H., &amp; Jauffred,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Robaina, L.E.S; Formoso, M.L.L.; Spadini, A.R. 1991. Carbonatos Reservatório da Formação Macaé, Bacia de Campos, RJ, Brasil. Parte I – Contribuição à Geoquímica dos Carbonatos.  Geochim.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Romary, T., Rivoirard, J., Deraisme, J., Quinones, C., &amp; Freulon, X. 2012. </w:t>
      </w:r>
      <w:r w:rsidRPr="00540F04">
        <w:rPr>
          <w:rFonts w:ascii="Arial" w:eastAsia="Times New Roman" w:hAnsi="Arial" w:cs="Arial"/>
          <w:bCs/>
          <w:lang w:val="en-US"/>
        </w:rPr>
        <w:t>Domaining by clustering multivariate geostatistical data. In Geostatistics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Automatic fault extraction using ant tracking algorithm in the Marlim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Spadini, A.R. 1992. </w:t>
      </w:r>
      <w:r w:rsidRPr="00540F04">
        <w:rPr>
          <w:rFonts w:ascii="Arial" w:eastAsia="Times New Roman" w:hAnsi="Arial" w:cs="Arial"/>
          <w:bCs/>
        </w:rPr>
        <w:t>Processos Deposicionais e Ciclicidade em Carbonatos Albianos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Spadini,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Taner,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 xml:space="preserve">Taner,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Carr,</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organized map clusters," SEG Technical Program Expanded Abstracts :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r w:rsidRPr="005101E9">
        <w:rPr>
          <w:rFonts w:ascii="Arial" w:eastAsia="Times New Roman" w:hAnsi="Arial" w:cs="Arial"/>
          <w:bCs/>
          <w:lang w:val="en-US"/>
        </w:rPr>
        <w:t xml:space="preserve">Trabanou, J.R.; Chabernaud, T.; Goswami, J.; Li, J.; Horkowitz, J.; Jacobsen, S.; Neville, T.; Seydoux, J. 2004. </w:t>
      </w:r>
      <w:r w:rsidRPr="00540F04">
        <w:rPr>
          <w:rFonts w:ascii="Arial" w:eastAsia="Times New Roman" w:hAnsi="Arial" w:cs="Arial"/>
          <w:bCs/>
          <w:lang w:val="en-US"/>
        </w:rPr>
        <w:t>How Certain Are We About Reservoir Parameter Uncertainties? 45 th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Tomaso, L.; Benac, P.; Sarturi, J.; González, G.; de Ribet, B. 2013. </w:t>
      </w:r>
      <w:r w:rsidRPr="00540F04">
        <w:rPr>
          <w:rFonts w:ascii="Arial" w:eastAsia="Times New Roman" w:hAnsi="Arial" w:cs="Arial"/>
          <w:bCs/>
          <w:lang w:val="en-US"/>
        </w:rPr>
        <w:t>Seismic Fracture Characterization Workflow and Support for the Geological Model: Albian Carbonate Reservoir, Campos Basin, Brazil. 13th International Congress of the Brazillian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Bemmel,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VanderPlas,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Der Walt, S., Colbert, S. C., &amp; Varoquaux,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Viroli,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Wackernagel, H. 1995. Multivariate geostatistics: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White, R. E., &amp; Simm,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Jahnert, R.J.; França,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Society of Petroleum Engineers Journal,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Zanão, R. 2008. Técnicas Geostatísticas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Zeng, H., &amp; Kerans,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Zhao, T., Jayaram, V., Roy, A., &amp; Marfurt,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7"/>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95E53E" w14:textId="77777777" w:rsidR="00331613" w:rsidRDefault="00331613" w:rsidP="00DD5D20">
      <w:pPr>
        <w:spacing w:after="0" w:line="240" w:lineRule="auto"/>
      </w:pPr>
      <w:r>
        <w:separator/>
      </w:r>
    </w:p>
  </w:endnote>
  <w:endnote w:type="continuationSeparator" w:id="0">
    <w:p w14:paraId="15A1071E" w14:textId="77777777" w:rsidR="00331613" w:rsidRDefault="00331613"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98160C" w:rsidRDefault="0098160C">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98160C" w:rsidRDefault="0098160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FE60E1" w14:textId="77777777" w:rsidR="00331613" w:rsidRDefault="00331613" w:rsidP="00DD5D20">
      <w:pPr>
        <w:spacing w:after="0" w:line="240" w:lineRule="auto"/>
      </w:pPr>
      <w:r>
        <w:separator/>
      </w:r>
    </w:p>
  </w:footnote>
  <w:footnote w:type="continuationSeparator" w:id="0">
    <w:p w14:paraId="02BA9425" w14:textId="77777777" w:rsidR="00331613" w:rsidRDefault="00331613"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6893"/>
    <w:rsid w:val="0005577D"/>
    <w:rsid w:val="00057DD7"/>
    <w:rsid w:val="000604E2"/>
    <w:rsid w:val="00066544"/>
    <w:rsid w:val="00070398"/>
    <w:rsid w:val="00074956"/>
    <w:rsid w:val="00075389"/>
    <w:rsid w:val="000A1FBC"/>
    <w:rsid w:val="000A25AF"/>
    <w:rsid w:val="000A2ADA"/>
    <w:rsid w:val="000B1625"/>
    <w:rsid w:val="000B35CE"/>
    <w:rsid w:val="000B55C9"/>
    <w:rsid w:val="000B6C23"/>
    <w:rsid w:val="000B75AE"/>
    <w:rsid w:val="000B75D3"/>
    <w:rsid w:val="000C7A18"/>
    <w:rsid w:val="000D23BF"/>
    <w:rsid w:val="000F2998"/>
    <w:rsid w:val="000F2E35"/>
    <w:rsid w:val="000F42CD"/>
    <w:rsid w:val="000F4A9C"/>
    <w:rsid w:val="000F54C8"/>
    <w:rsid w:val="000F5B16"/>
    <w:rsid w:val="000F7271"/>
    <w:rsid w:val="0011005A"/>
    <w:rsid w:val="0011276D"/>
    <w:rsid w:val="001160C7"/>
    <w:rsid w:val="0011650E"/>
    <w:rsid w:val="00126D99"/>
    <w:rsid w:val="001332DB"/>
    <w:rsid w:val="001341A1"/>
    <w:rsid w:val="00136345"/>
    <w:rsid w:val="00140475"/>
    <w:rsid w:val="00140DA9"/>
    <w:rsid w:val="001419C4"/>
    <w:rsid w:val="00144BC8"/>
    <w:rsid w:val="00146384"/>
    <w:rsid w:val="00146FD0"/>
    <w:rsid w:val="0015005E"/>
    <w:rsid w:val="001521BF"/>
    <w:rsid w:val="00162ED1"/>
    <w:rsid w:val="00172601"/>
    <w:rsid w:val="00172A01"/>
    <w:rsid w:val="001767B6"/>
    <w:rsid w:val="00186E32"/>
    <w:rsid w:val="001977E4"/>
    <w:rsid w:val="001A2263"/>
    <w:rsid w:val="001A24A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32DA0"/>
    <w:rsid w:val="00246C80"/>
    <w:rsid w:val="0026381D"/>
    <w:rsid w:val="0026564E"/>
    <w:rsid w:val="00277A82"/>
    <w:rsid w:val="00286561"/>
    <w:rsid w:val="00287EB9"/>
    <w:rsid w:val="00292A63"/>
    <w:rsid w:val="00295768"/>
    <w:rsid w:val="002B1CA9"/>
    <w:rsid w:val="002B407F"/>
    <w:rsid w:val="002B4615"/>
    <w:rsid w:val="002B5D86"/>
    <w:rsid w:val="002C3571"/>
    <w:rsid w:val="002C375A"/>
    <w:rsid w:val="002C5B2E"/>
    <w:rsid w:val="002C5D58"/>
    <w:rsid w:val="002C659A"/>
    <w:rsid w:val="002D150E"/>
    <w:rsid w:val="002D6D65"/>
    <w:rsid w:val="002E104D"/>
    <w:rsid w:val="002E6185"/>
    <w:rsid w:val="002F63EE"/>
    <w:rsid w:val="00322AB7"/>
    <w:rsid w:val="003258A5"/>
    <w:rsid w:val="0032750C"/>
    <w:rsid w:val="00331613"/>
    <w:rsid w:val="003463FA"/>
    <w:rsid w:val="00352561"/>
    <w:rsid w:val="00354126"/>
    <w:rsid w:val="003625E3"/>
    <w:rsid w:val="00366C5C"/>
    <w:rsid w:val="00373D02"/>
    <w:rsid w:val="00377857"/>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4007EE"/>
    <w:rsid w:val="00402980"/>
    <w:rsid w:val="00402FE8"/>
    <w:rsid w:val="0040376C"/>
    <w:rsid w:val="00403851"/>
    <w:rsid w:val="00406342"/>
    <w:rsid w:val="0041191B"/>
    <w:rsid w:val="0041224B"/>
    <w:rsid w:val="00414EB6"/>
    <w:rsid w:val="00420141"/>
    <w:rsid w:val="00420BBE"/>
    <w:rsid w:val="00422C09"/>
    <w:rsid w:val="004273EF"/>
    <w:rsid w:val="00434322"/>
    <w:rsid w:val="00434D60"/>
    <w:rsid w:val="00441789"/>
    <w:rsid w:val="00452FAA"/>
    <w:rsid w:val="00453769"/>
    <w:rsid w:val="0045548B"/>
    <w:rsid w:val="00460EE8"/>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9C7"/>
    <w:rsid w:val="00503DDB"/>
    <w:rsid w:val="005070E9"/>
    <w:rsid w:val="005101E9"/>
    <w:rsid w:val="005133DE"/>
    <w:rsid w:val="0051408F"/>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37C6"/>
    <w:rsid w:val="00667EE7"/>
    <w:rsid w:val="0067092D"/>
    <w:rsid w:val="00671752"/>
    <w:rsid w:val="00680028"/>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2BD8"/>
    <w:rsid w:val="00767D2F"/>
    <w:rsid w:val="00770949"/>
    <w:rsid w:val="00787083"/>
    <w:rsid w:val="007A1D1F"/>
    <w:rsid w:val="007B10EB"/>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B0772"/>
    <w:rsid w:val="008C1BE4"/>
    <w:rsid w:val="008C47CA"/>
    <w:rsid w:val="008D0243"/>
    <w:rsid w:val="008D0FD1"/>
    <w:rsid w:val="008D682F"/>
    <w:rsid w:val="008E06FA"/>
    <w:rsid w:val="008F04A0"/>
    <w:rsid w:val="008F0D6D"/>
    <w:rsid w:val="009035F3"/>
    <w:rsid w:val="00906351"/>
    <w:rsid w:val="0092099E"/>
    <w:rsid w:val="00922D49"/>
    <w:rsid w:val="009427A9"/>
    <w:rsid w:val="00942EBE"/>
    <w:rsid w:val="00943772"/>
    <w:rsid w:val="00952EDF"/>
    <w:rsid w:val="0096112B"/>
    <w:rsid w:val="0097133B"/>
    <w:rsid w:val="009739A9"/>
    <w:rsid w:val="00977449"/>
    <w:rsid w:val="0098160C"/>
    <w:rsid w:val="00986836"/>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47866"/>
    <w:rsid w:val="00A505E2"/>
    <w:rsid w:val="00A53748"/>
    <w:rsid w:val="00A55266"/>
    <w:rsid w:val="00A62B7C"/>
    <w:rsid w:val="00A62BA1"/>
    <w:rsid w:val="00A63D40"/>
    <w:rsid w:val="00A6683E"/>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F4CE2"/>
    <w:rsid w:val="00B0423B"/>
    <w:rsid w:val="00B06C22"/>
    <w:rsid w:val="00B07965"/>
    <w:rsid w:val="00B10D46"/>
    <w:rsid w:val="00B17B53"/>
    <w:rsid w:val="00B2069E"/>
    <w:rsid w:val="00B2728B"/>
    <w:rsid w:val="00B27AA7"/>
    <w:rsid w:val="00B30463"/>
    <w:rsid w:val="00B347C3"/>
    <w:rsid w:val="00B34D33"/>
    <w:rsid w:val="00B351FE"/>
    <w:rsid w:val="00B355B2"/>
    <w:rsid w:val="00B370CB"/>
    <w:rsid w:val="00B554E6"/>
    <w:rsid w:val="00B5588D"/>
    <w:rsid w:val="00B60A0E"/>
    <w:rsid w:val="00B6342A"/>
    <w:rsid w:val="00B7388B"/>
    <w:rsid w:val="00B754F3"/>
    <w:rsid w:val="00B92E0F"/>
    <w:rsid w:val="00B97651"/>
    <w:rsid w:val="00BA11F4"/>
    <w:rsid w:val="00BA27BA"/>
    <w:rsid w:val="00BA4F2C"/>
    <w:rsid w:val="00BB08FC"/>
    <w:rsid w:val="00BB1A8C"/>
    <w:rsid w:val="00BB6FA0"/>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2D85"/>
    <w:rsid w:val="00C143EA"/>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B57BF"/>
    <w:rsid w:val="00CC406A"/>
    <w:rsid w:val="00CD183E"/>
    <w:rsid w:val="00CD33E9"/>
    <w:rsid w:val="00CD4557"/>
    <w:rsid w:val="00CD6CA7"/>
    <w:rsid w:val="00CD732E"/>
    <w:rsid w:val="00CE27B7"/>
    <w:rsid w:val="00CE4546"/>
    <w:rsid w:val="00CE69B3"/>
    <w:rsid w:val="00CE7B94"/>
    <w:rsid w:val="00D03837"/>
    <w:rsid w:val="00D104C9"/>
    <w:rsid w:val="00D138FB"/>
    <w:rsid w:val="00D22610"/>
    <w:rsid w:val="00D230EE"/>
    <w:rsid w:val="00D23666"/>
    <w:rsid w:val="00D2431C"/>
    <w:rsid w:val="00D27E07"/>
    <w:rsid w:val="00D337A1"/>
    <w:rsid w:val="00D34B0E"/>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C0591"/>
    <w:rsid w:val="00DD5A6D"/>
    <w:rsid w:val="00DD5D20"/>
    <w:rsid w:val="00DE21CB"/>
    <w:rsid w:val="00DE29AD"/>
    <w:rsid w:val="00DE6BAB"/>
    <w:rsid w:val="00DF49ED"/>
    <w:rsid w:val="00DF58A1"/>
    <w:rsid w:val="00E05BAC"/>
    <w:rsid w:val="00E07403"/>
    <w:rsid w:val="00E17CB6"/>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32C0"/>
    <w:rsid w:val="00EB48A4"/>
    <w:rsid w:val="00EB61E5"/>
    <w:rsid w:val="00EC7F74"/>
    <w:rsid w:val="00ED2199"/>
    <w:rsid w:val="00ED2558"/>
    <w:rsid w:val="00EE4341"/>
    <w:rsid w:val="00EF1891"/>
    <w:rsid w:val="00EF4B6B"/>
    <w:rsid w:val="00EF556D"/>
    <w:rsid w:val="00EF56DE"/>
    <w:rsid w:val="00EF692F"/>
    <w:rsid w:val="00EF69DB"/>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658AF"/>
    <w:rsid w:val="00F81809"/>
    <w:rsid w:val="00F84842"/>
    <w:rsid w:val="00F86C66"/>
    <w:rsid w:val="00F91027"/>
    <w:rsid w:val="00F94B6D"/>
    <w:rsid w:val="00FA2D0F"/>
    <w:rsid w:val="00FB2271"/>
    <w:rsid w:val="00FB2DDC"/>
    <w:rsid w:val="00FB5E72"/>
    <w:rsid w:val="00FC01FE"/>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18C5C-F650-45EF-BCEE-56E7FA998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8112</TotalTime>
  <Pages>83</Pages>
  <Words>18515</Words>
  <Characters>105536</Characters>
  <Application>Microsoft Office Word</Application>
  <DocSecurity>0</DocSecurity>
  <Lines>879</Lines>
  <Paragraphs>247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124</cp:revision>
  <dcterms:created xsi:type="dcterms:W3CDTF">2019-05-19T21:02:00Z</dcterms:created>
  <dcterms:modified xsi:type="dcterms:W3CDTF">2020-03-18T06:55:00Z</dcterms:modified>
</cp:coreProperties>
</file>